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98" w:rsidRPr="00036A50" w:rsidRDefault="00BB3798" w:rsidP="00BB3798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36A50">
        <w:rPr>
          <w:rFonts w:ascii="Times New Roman" w:hAnsi="Times New Roman" w:cs="Times New Roman"/>
          <w:b/>
          <w:sz w:val="26"/>
          <w:szCs w:val="26"/>
        </w:rPr>
        <w:t>Доклад Челябинского УФАС России по правоприменительной практике за 2 квартал 2018 года</w:t>
      </w:r>
    </w:p>
    <w:p w:rsidR="00BB3798" w:rsidRPr="00036A50" w:rsidRDefault="00BB3798" w:rsidP="00BB3798">
      <w:pPr>
        <w:rPr>
          <w:rFonts w:ascii="Times New Roman" w:hAnsi="Times New Roman" w:cs="Times New Roman"/>
          <w:b/>
          <w:sz w:val="26"/>
          <w:szCs w:val="26"/>
        </w:rPr>
      </w:pPr>
    </w:p>
    <w:p w:rsidR="00FC664F" w:rsidRPr="00036A50" w:rsidRDefault="00FC664F" w:rsidP="00FC66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A50">
        <w:rPr>
          <w:rFonts w:ascii="Times New Roman" w:hAnsi="Times New Roman" w:cs="Times New Roman"/>
          <w:b/>
          <w:sz w:val="26"/>
          <w:szCs w:val="26"/>
        </w:rPr>
        <w:t>Закупки по 223-ФЗ</w:t>
      </w:r>
    </w:p>
    <w:p w:rsidR="00BB3798" w:rsidRPr="00BB3798" w:rsidRDefault="00BB3798" w:rsidP="00BB3798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ВС РФ утвердил обзор судебной практики по применению Закона № 223-ФЗ</w:t>
      </w:r>
      <w:r w:rsidRPr="00036A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vertAlign w:val="superscript"/>
          <w:lang w:eastAsia="ru-RU"/>
        </w:rPr>
        <w:footnoteReference w:id="1"/>
      </w:r>
    </w:p>
    <w:p w:rsidR="00BB3798" w:rsidRPr="00BB3798" w:rsidRDefault="00BB3798" w:rsidP="00BB3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Обзоре приведены 22 наиболее важных правовых позиций Верховного Суда Российской Федерации, содержащие практику арбитражных судов и ответы на вопросы, поступившие от судов, связанные с применением положений </w:t>
      </w:r>
      <w:hyperlink r:id="rId7" w:tgtFrame="_blank" w:history="1">
        <w:r w:rsidRPr="00BB379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Закона № 223-ФЗ</w:t>
        </w:r>
      </w:hyperlink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возникающие при заключении, изменении, расторжении договоров, их исполнении. Из них: 5 позиций посвящены информационному обеспечению закупки и установлению измеряемых требований к ее участникам, 9 – реализации принципов осуществления закупочной деятельности, по 2 – вопросам заключения и изменения договоров, а также иным вопросам, 4 – контролю при осуществлении закупок.</w:t>
      </w:r>
    </w:p>
    <w:p w:rsidR="00BB3798" w:rsidRPr="00BB3798" w:rsidRDefault="00BB3798" w:rsidP="00BB3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ВС РФ указал, что для информационного обеспечения закупки в документации должны содержаться достаточные сведения в том числе о ее объекте, позволяющие потенциальному участнику сформировать свое предложение. В конкретном случае речь шла об отсутствии в закупочной документации информации об объеме строительно-монтажных работ, их минимальной цене и способе ее определения, о разрешительных документах, подлежащих обязательному включению в состав заявки на участие в закупке. Как пояснил суд, указанные сведения нельзя было получить, сделав самостоятельные выводы даже при наличии необходимого уровня профессионализма и опыта. </w:t>
      </w:r>
    </w:p>
    <w:p w:rsidR="00BB3798" w:rsidRPr="00BB3798" w:rsidRDefault="00BB3798" w:rsidP="00BB3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Суд обратил внимание, что установление заказчиком невыполнимых требований для участников закупки ограничивает конкуренцию и противоречит положениям </w:t>
      </w:r>
      <w:hyperlink r:id="rId8" w:history="1">
        <w:r w:rsidRPr="00BB379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Закона № 223-ФЗ</w:t>
        </w:r>
      </w:hyperlink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примеру, если заказчиком размещает извещение о проведении процедуры закупки в форме запроса предложений в электронной форме со сроком окончания приема заявок через один рабочий день со дня размещения извещения.</w:t>
      </w:r>
    </w:p>
    <w:p w:rsidR="00BB3798" w:rsidRPr="00BB3798" w:rsidRDefault="00BB3798" w:rsidP="00BB3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BB3798" w:rsidRDefault="00BB3798" w:rsidP="00BB3798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Среди содержащихся в Обзоре правовых позиций можно также отметить следующие: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описании предмета закупки допустимы ссылки на государственные стандарты, санитарные нормы и правила, технические условия или их отдельные положения без раскрытия их содержания;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числа участников закупки в результате предъявления к ним требований не нарушает принцип равноправия,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преимуществ отдельным лицам либо на необоснованное ограничение конкуренции;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установление требований о выполнении контракта лично, без привлечения субподрядчиков, отвечающих потребностям и интересам заказчика, не может рассматриваться как ограничение круга потенциальных участников закупки;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документацию о закупке требований к закупаемому товару, которые свидетельствуют о его конкретном производителе, в отсутствие специфики такого товара, его использования является ограничением конкуренции;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участником закупки заведомо недостоверных сведений, которые позволили ему одержать победу в проводимой закупке, является недобросовестной конкуренцией;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участником закупки выступает группа лиц, требования, указанные в документации о закупке, должны предъявляться к группе лиц в совокупности, а не к отдельно взятому ее участнику;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договора по результатам закупки до истечения 10-дневного срока обжалования действий (бездействия) организатора торгов, оператора электронной площадки, конкурсной или аукционной комиссии свидетельствует о злоупотреблении правом со стороны заказчика;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изменение договора, заключенного по правилам </w:t>
      </w:r>
      <w:hyperlink r:id="rId9" w:tgtFrame="_blank" w:history="1">
        <w:r w:rsidRPr="00BB379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Закона № 223-ФЗ</w:t>
        </w:r>
      </w:hyperlink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влияющее на его условия по сравнению с условиями документации о закупке, имевшими существенное значение для формирования заявок, определения победителя, определения цены договора;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несоразмерность мер, установленных для заказчика в предписании антимонопольного органа, может служить основанием для вывода о незаконности предписания и признания его недействительным;</w:t>
      </w:r>
    </w:p>
    <w:p w:rsidR="00BB3798" w:rsidRPr="00BB3798" w:rsidRDefault="00BB3798" w:rsidP="00BB3798">
      <w:pPr>
        <w:numPr>
          <w:ilvl w:val="0"/>
          <w:numId w:val="6"/>
        </w:num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противоречия между содержанием положения о закупке и документации о закупке применению подлежит положение о закупке.</w:t>
      </w:r>
    </w:p>
    <w:p w:rsidR="00BB3798" w:rsidRPr="00BB3798" w:rsidRDefault="00BB3798" w:rsidP="00BB379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3798" w:rsidRPr="00036A50" w:rsidRDefault="00BB3798" w:rsidP="00BB37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Статистика рассмотрения жалоб по Закону № 223-ФЗ</w:t>
      </w:r>
    </w:p>
    <w:p w:rsidR="00BB3798" w:rsidRPr="00BB3798" w:rsidRDefault="00BB3798" w:rsidP="00FC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3798" w:rsidRPr="00036A50" w:rsidRDefault="00BB3798" w:rsidP="00BB379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Челябинским УФАС России в 2 квартале 2018 года рассмотрение жалоб по Закону о закупках выглядит следующим образом:</w:t>
      </w:r>
    </w:p>
    <w:p w:rsidR="00BB3798" w:rsidRPr="00036A50" w:rsidRDefault="00FC664F" w:rsidP="00FC664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firstLine="69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Всего жалоб: 16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</w:t>
      </w:r>
      <w:r w:rsidR="003C7FD9" w:rsidRPr="00036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жалоб, возвращенных заявителю 3</w:t>
      </w:r>
      <w:r w:rsidRPr="00BB3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отозванных жалоб – 0;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Количество жалоб, принятых к рассмотрению – </w:t>
      </w:r>
      <w:r w:rsidR="003C7FD9" w:rsidRPr="00036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BB3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жалоб, признанных обоснованными – </w:t>
      </w:r>
      <w:r w:rsidR="003C7FD9"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</w:t>
      </w:r>
      <w:r w:rsidR="003C7FD9"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ичество выданных предписаний – 3</w:t>
      </w: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стадии - 2;</w:t>
      </w:r>
    </w:p>
    <w:p w:rsidR="00BB3798" w:rsidRPr="00036A50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жалоб, признанных необоснованными – </w:t>
      </w:r>
      <w:r w:rsidR="003C7FD9"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>4;</w:t>
      </w:r>
    </w:p>
    <w:p w:rsidR="003C7FD9" w:rsidRPr="00BB3798" w:rsidRDefault="003C7FD9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перенаправленных жалоб – 5.</w:t>
      </w:r>
    </w:p>
    <w:p w:rsidR="00BB3798" w:rsidRPr="00BB3798" w:rsidRDefault="00BB3798" w:rsidP="00BB379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BB3798" w:rsidRDefault="00BB3798" w:rsidP="00BB379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Вынесено 16 постановлений о наложении штрафов за нарушения зак</w:t>
      </w:r>
      <w:r w:rsidR="003C7FD9"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о закупках на общую сумму 42</w:t>
      </w: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BB3798" w:rsidRPr="00BB3798" w:rsidRDefault="00BB3798" w:rsidP="00BB3798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BB3798" w:rsidRDefault="00BB3798" w:rsidP="00BB37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 полномочия антимонопольного органа также входит рассмотрение жалоб на действия организаторов торгов при реализации имущества банкротов, арестованного имущества в порядке статьи 18.1 Закона о защите конкуренции</w:t>
      </w: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3798" w:rsidRPr="00BB3798" w:rsidRDefault="00BB3798" w:rsidP="00BB37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BB3798" w:rsidRDefault="00BB3798" w:rsidP="00BB37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рассмотрения таких жалоб выглядит следующим образом:</w:t>
      </w:r>
    </w:p>
    <w:p w:rsidR="00BB3798" w:rsidRPr="00BB3798" w:rsidRDefault="00BB3798" w:rsidP="00BB37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жалоб, возвращенных заявителю 2;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отозванных жалоб – 0;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жалоб, принятых к рассмотрению – 4;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жалоб, признанных обоснованными – 2;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выданных предписаний – 2, исполнено предписаний – 1, в стадии - 1;</w:t>
      </w:r>
    </w:p>
    <w:p w:rsidR="00BB3798" w:rsidRPr="00BB3798" w:rsidRDefault="00BB3798" w:rsidP="00BB379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жалоб, признанных необоснованными – 2.</w:t>
      </w:r>
    </w:p>
    <w:p w:rsidR="00BB3798" w:rsidRPr="00BB3798" w:rsidRDefault="00BB3798" w:rsidP="00BB379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036A50" w:rsidRDefault="00BB3798" w:rsidP="00BB379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Вынесено 11 постановлений о наложении штрафов за нарушения закона о закупках на общую сумму 283 тыс. рублей.</w:t>
      </w:r>
    </w:p>
    <w:p w:rsidR="00BB3798" w:rsidRPr="00036A50" w:rsidRDefault="00BB3798" w:rsidP="00BB379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BB3798" w:rsidRDefault="00BB3798" w:rsidP="00BB379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b/>
          <w:sz w:val="26"/>
          <w:szCs w:val="26"/>
        </w:rPr>
        <w:t>Предложения в 223-ФЗ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-  Регламентировать на законодательном уровне обязательное установление Заказчиком критерия «цена» при оценке заявок участников в рамках проведения закупок в соответствии с </w:t>
      </w:r>
      <w:proofErr w:type="gramStart"/>
      <w:r w:rsidRPr="00036A50">
        <w:rPr>
          <w:rFonts w:ascii="Times New Roman" w:hAnsi="Times New Roman" w:cs="Times New Roman"/>
          <w:sz w:val="26"/>
          <w:szCs w:val="26"/>
        </w:rPr>
        <w:t>требованиями  Федерального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закона от 18.07.2011 № 223-ФЗ «О закупках товаров, работ, услуг отдельными видами юридических лиц» путем принятия соответствующего постановления Правительства РФ о критериях оценки участников конкурентных способов закупок.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Согласно выводам судов, Заказчик вправе самостоятельно устанавливать те или иные критерии оценки заявок и у него нет обязанности использовать такой критерий как «цена» во всех проводимых закупках (судебное дело по ветряным </w:t>
      </w:r>
      <w:proofErr w:type="gramStart"/>
      <w:r w:rsidRPr="00036A50">
        <w:rPr>
          <w:rFonts w:ascii="Times New Roman" w:hAnsi="Times New Roman" w:cs="Times New Roman"/>
          <w:sz w:val="26"/>
          <w:szCs w:val="26"/>
        </w:rPr>
        <w:t>мельницам  ПАО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Фортум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>» № А76-16710/2016).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- Разработать методику определения начальной (максимальной) цены закупки, проводимой в соответствии с требованиями Закона о закупках, где предусмотреть обязательность формирования цен с применением правил, используемых в тарифном регулировании.</w:t>
      </w:r>
      <w:r w:rsidRPr="00036A50">
        <w:rPr>
          <w:rFonts w:ascii="Times New Roman" w:hAnsi="Times New Roman" w:cs="Times New Roman"/>
          <w:sz w:val="26"/>
          <w:szCs w:val="26"/>
        </w:rPr>
        <w:tab/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- Организовать при Законодательном Собрании Челябинской области рабочую группу по обсуждению предложений по внесению изменений в законодательство о закупках товаров, работ, услуг отдельными видами юридических лиц.</w:t>
      </w:r>
    </w:p>
    <w:p w:rsidR="00BB3798" w:rsidRPr="00BB3798" w:rsidRDefault="00BB3798" w:rsidP="00BB379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BB3798" w:rsidRDefault="00BB3798" w:rsidP="00FC664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3798" w:rsidRPr="00BB3798" w:rsidRDefault="00FC664F" w:rsidP="00036A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Антимонопольный контроль </w:t>
      </w:r>
    </w:p>
    <w:p w:rsidR="00BB3798" w:rsidRPr="00BB3798" w:rsidRDefault="00BB3798" w:rsidP="00BB3798">
      <w:pPr>
        <w:shd w:val="clear" w:color="auto" w:fill="FFFFFF"/>
        <w:spacing w:after="0" w:line="240" w:lineRule="auto"/>
        <w:ind w:left="426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BB3798" w:rsidRPr="00036A50" w:rsidRDefault="00BB3798" w:rsidP="00BB3798">
      <w:pPr>
        <w:spacing w:after="0" w:line="0" w:lineRule="atLeast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В отчетном периоде продолжают поступать обращения, суть которых сводится к следующему:</w:t>
      </w:r>
    </w:p>
    <w:p w:rsidR="00BB3798" w:rsidRPr="00036A50" w:rsidRDefault="00BB3798" w:rsidP="00BB3798">
      <w:pPr>
        <w:spacing w:after="0" w:line="0" w:lineRule="atLeast"/>
        <w:ind w:left="-851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6A50">
        <w:rPr>
          <w:rFonts w:ascii="Times New Roman" w:hAnsi="Times New Roman" w:cs="Times New Roman"/>
          <w:b/>
          <w:i/>
          <w:sz w:val="26"/>
          <w:szCs w:val="26"/>
        </w:rPr>
        <w:t xml:space="preserve">- повышение стоимости проезда в маршрутных такси на территории г. </w:t>
      </w:r>
      <w:proofErr w:type="gramStart"/>
      <w:r w:rsidRPr="00036A50">
        <w:rPr>
          <w:rFonts w:ascii="Times New Roman" w:hAnsi="Times New Roman" w:cs="Times New Roman"/>
          <w:b/>
          <w:i/>
          <w:sz w:val="26"/>
          <w:szCs w:val="26"/>
        </w:rPr>
        <w:t>Челябинска,  г.</w:t>
      </w:r>
      <w:proofErr w:type="gramEnd"/>
      <w:r w:rsidRPr="00036A50">
        <w:rPr>
          <w:rFonts w:ascii="Times New Roman" w:hAnsi="Times New Roman" w:cs="Times New Roman"/>
          <w:b/>
          <w:i/>
          <w:sz w:val="26"/>
          <w:szCs w:val="26"/>
        </w:rPr>
        <w:t xml:space="preserve"> Копейска;</w:t>
      </w:r>
    </w:p>
    <w:p w:rsidR="00BB3798" w:rsidRPr="00036A50" w:rsidRDefault="00BB3798" w:rsidP="00BB379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По предварительной информации, перевозчики (31) на маршрутных такси в г. Челябинске заключили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антиконкурентное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соглашение в конце ноября 2017 года, синхронно увеличив цены на проезд с 23 до 25 рублей.</w:t>
      </w:r>
    </w:p>
    <w:p w:rsidR="00BB3798" w:rsidRPr="00036A50" w:rsidRDefault="00BB3798" w:rsidP="00BB379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6A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Повышение цен на проезд произошло в г. Челябинске в 2017 году уже во второй раз. Так, еще в начале года пассажиры могли воспользоваться услугами данного вида транспорта за 20 рублей. Уровень инфляции по данным Росстата за прошлый год составил 2,5%, а последнее увеличение цен в челябинских маршрутных такси превысило данный показатель и составило 8,6%.</w:t>
      </w:r>
    </w:p>
    <w:p w:rsidR="00BB3798" w:rsidRPr="00036A50" w:rsidRDefault="00BB3798" w:rsidP="00BB3798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Более того, антимонопольной службой уже установлено, что 27 из 31 перевозчика вообще не имели свидетельства по маршруту, подтверждающего право осуществления регулярных перевозок по нерегулируемым тарифам. Таким образом, у хозяйствующих субъектов отсутствовали правовые основания для изменения стоимости проезда. </w:t>
      </w:r>
    </w:p>
    <w:p w:rsidR="00BB3798" w:rsidRPr="00036A50" w:rsidRDefault="00BB3798" w:rsidP="00BB379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6A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Сейчас действия перевозчиков детально изучаются и анализируются Челябинским УФАС России относительно соблюдения требований Закона о защите конкуренции.   15 мая на заседании Комиссии и в сети Интернет появилась информация о снижении стоимости проезда на маршрутах 86 и 92 до 20 рублей, а на маршруте 86   для пенсионеров акция – проезд 10 рублей.</w:t>
      </w:r>
    </w:p>
    <w:p w:rsidR="00BB3798" w:rsidRPr="00036A50" w:rsidRDefault="00BB3798" w:rsidP="00BB3798">
      <w:pPr>
        <w:shd w:val="clear" w:color="auto" w:fill="FFFFFF"/>
        <w:spacing w:after="0" w:line="240" w:lineRule="auto"/>
        <w:ind w:left="-851" w:right="-1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036A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г. Копейске, где стоимость проезда поднялась с 23 до 26 рублей, ситуация складывается иначе. </w:t>
      </w:r>
      <w:r w:rsidRPr="00036A50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Из материалов дела следует, что перевозчики осуществляют деятельность по регулируемым маршрутам, при этом на одном маршруте осуществляют перевозку несколько перевозчиков, которые осуществляют перевозку строго по расписанию (каждые в свое время и с определенным временным интервалом).  Кроме того в материалах имеются подписанные соглашения между перевозчиками </w:t>
      </w:r>
      <w:proofErr w:type="gramStart"/>
      <w:r w:rsidRPr="00036A50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и  МУП</w:t>
      </w:r>
      <w:proofErr w:type="gramEnd"/>
      <w:r w:rsidRPr="00036A50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proofErr w:type="spellStart"/>
      <w:r w:rsidRPr="00036A50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Копейское</w:t>
      </w:r>
      <w:proofErr w:type="spellEnd"/>
      <w:r w:rsidRPr="00036A50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пассажирское автопредприятие» о  стоимости проезда  (разница в стоимости проезда у </w:t>
      </w:r>
      <w:proofErr w:type="spellStart"/>
      <w:r w:rsidRPr="00036A50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МУПа</w:t>
      </w:r>
      <w:proofErr w:type="spellEnd"/>
      <w:r w:rsidRPr="00036A50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и перевозчиков должна быть 3 рубля). В настоящее время дело рассматривается.</w:t>
      </w:r>
    </w:p>
    <w:p w:rsidR="00BB3798" w:rsidRPr="00036A50" w:rsidRDefault="00BB3798" w:rsidP="00BB3798">
      <w:pPr>
        <w:shd w:val="clear" w:color="auto" w:fill="FFFFFF"/>
        <w:spacing w:after="0" w:line="240" w:lineRule="auto"/>
        <w:ind w:left="-851" w:right="-1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Pr="00036A50">
        <w:rPr>
          <w:rFonts w:ascii="Times New Roman" w:hAnsi="Times New Roman" w:cs="Times New Roman"/>
          <w:b/>
          <w:i/>
          <w:sz w:val="26"/>
          <w:szCs w:val="26"/>
        </w:rPr>
        <w:t xml:space="preserve">- заявления на действия АО «УТСК», выразившиеся в отказе от заключения прямых договоров теплоснабжения с гражданами (03.04.2018 внесены </w:t>
      </w:r>
      <w:proofErr w:type="gramStart"/>
      <w:r w:rsidRPr="00036A50">
        <w:rPr>
          <w:rFonts w:ascii="Times New Roman" w:hAnsi="Times New Roman" w:cs="Times New Roman"/>
          <w:b/>
          <w:i/>
          <w:sz w:val="26"/>
          <w:szCs w:val="26"/>
        </w:rPr>
        <w:t>изменения  в</w:t>
      </w:r>
      <w:proofErr w:type="gramEnd"/>
      <w:r w:rsidRPr="00036A50">
        <w:rPr>
          <w:rFonts w:ascii="Times New Roman" w:hAnsi="Times New Roman" w:cs="Times New Roman"/>
          <w:b/>
          <w:i/>
          <w:sz w:val="26"/>
          <w:szCs w:val="26"/>
        </w:rPr>
        <w:t xml:space="preserve"> ЖК).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Исходя из содержания частей 2, </w:t>
      </w:r>
      <w:proofErr w:type="gramStart"/>
      <w:r w:rsidRPr="00036A50">
        <w:rPr>
          <w:rFonts w:ascii="Times New Roman" w:hAnsi="Times New Roman" w:cs="Times New Roman"/>
          <w:sz w:val="26"/>
          <w:szCs w:val="26"/>
        </w:rPr>
        <w:t>4  статьи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154 и части 1 статьи 155 плата за коммунальные услуги вносится собственниками помещений в многоквартирном доме  в управляющую организацию в порядке и сроки, определенные договором управления. Из изложенных норм действующего законодательства следует, что коммунальные услуги предоставляются собственникам жилых помещений в многоквартирном доме управляющей организацией, которая в свою очередь заключает договоры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с соответствующей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организацией.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В многоквартирных домах, в которых количество квартир составляет более 30, выбор непосредственной формы управления в силу закона невозможен, следовательно, невозможно и заключение прямых договоров между собственниками жилых квартир в таких домах и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организацией.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Таким образом, действия АО «УТСК» не противоречат действующему законодательству.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При этом, обращаем ваше внимание, что Федеральным законом от 03.04.2018 № 59-ФЗ в Жилищный кодекс Российской Федерации внесены изменениями, в соответствии с которыми заключение прямых договоров с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организациями возможно при условии принятия общим собранием собственников жилых помещений в многоквартирных домах соответствующего решения о заключении таких договоров (пункт 4.4 части 2 статьи 44 Жилищного кодекса).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Указанный Федеральный закон вступил в силу со дня опубликования - 03.04.2018.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Таким образом, после вступления в силу указанных изменений собственники жилых помещений в многоквартирных домах вправе заключать прямые договоры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при условии принятия соответствующего решения на общем собрании собственников помещений в данных домах.</w:t>
      </w:r>
    </w:p>
    <w:p w:rsidR="00BB3798" w:rsidRPr="00036A50" w:rsidRDefault="00BB3798" w:rsidP="00BB3798">
      <w:pPr>
        <w:tabs>
          <w:tab w:val="left" w:pos="799"/>
        </w:tabs>
        <w:snapToGri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6A50">
        <w:rPr>
          <w:rFonts w:ascii="Times New Roman" w:hAnsi="Times New Roman" w:cs="Times New Roman"/>
          <w:b/>
          <w:i/>
          <w:sz w:val="26"/>
          <w:szCs w:val="26"/>
        </w:rPr>
        <w:lastRenderedPageBreak/>
        <w:t>- выставление счетов на оплату тепловой энергии, потребленной нанимателями жилых помещений, принадлежащих юридическому лицу, с применением тарифа для юридических лиц:</w:t>
      </w:r>
    </w:p>
    <w:p w:rsidR="00BB3798" w:rsidRPr="00036A50" w:rsidRDefault="00BB3798" w:rsidP="00BB3798">
      <w:pPr>
        <w:tabs>
          <w:tab w:val="left" w:pos="799"/>
        </w:tabs>
        <w:snapToGri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6A50">
        <w:rPr>
          <w:rFonts w:ascii="Times New Roman" w:hAnsi="Times New Roman" w:cs="Times New Roman"/>
          <w:sz w:val="26"/>
          <w:szCs w:val="26"/>
        </w:rPr>
        <w:t>Чаще всего с такой проблемой сталкиваются крупные хозяйствующие субъекты</w:t>
      </w:r>
      <w:r w:rsidRPr="00036A50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036A50">
        <w:rPr>
          <w:rFonts w:ascii="Times New Roman" w:hAnsi="Times New Roman" w:cs="Times New Roman"/>
          <w:color w:val="000000"/>
          <w:sz w:val="26"/>
          <w:szCs w:val="26"/>
        </w:rPr>
        <w:t>ОАО «РЖД», АО «Обувная фирма «</w:t>
      </w:r>
      <w:proofErr w:type="spellStart"/>
      <w:r w:rsidRPr="00036A50">
        <w:rPr>
          <w:rFonts w:ascii="Times New Roman" w:hAnsi="Times New Roman" w:cs="Times New Roman"/>
          <w:color w:val="000000"/>
          <w:sz w:val="26"/>
          <w:szCs w:val="26"/>
        </w:rPr>
        <w:t>Юничел</w:t>
      </w:r>
      <w:proofErr w:type="spellEnd"/>
      <w:r w:rsidRPr="00036A50">
        <w:rPr>
          <w:rFonts w:ascii="Times New Roman" w:hAnsi="Times New Roman" w:cs="Times New Roman"/>
          <w:color w:val="000000"/>
          <w:sz w:val="26"/>
          <w:szCs w:val="26"/>
        </w:rPr>
        <w:t xml:space="preserve">») которым принадлежат общежития и квартиры в МКД, где проживают работники предприятия по договору найма. </w:t>
      </w:r>
      <w:r w:rsidRPr="00036A50">
        <w:rPr>
          <w:rFonts w:ascii="Times New Roman" w:hAnsi="Times New Roman" w:cs="Times New Roman"/>
          <w:sz w:val="26"/>
          <w:szCs w:val="26"/>
        </w:rPr>
        <w:t xml:space="preserve">По нашим данным </w:t>
      </w:r>
      <w:r w:rsidRPr="00036A50">
        <w:rPr>
          <w:rFonts w:ascii="Times New Roman" w:hAnsi="Times New Roman" w:cs="Times New Roman"/>
          <w:sz w:val="26"/>
          <w:szCs w:val="26"/>
          <w:u w:val="single"/>
        </w:rPr>
        <w:t>такая ситуация сложилась с июля 2013 года после введения льготного тарифа для группы потребителей «население».</w:t>
      </w:r>
    </w:p>
    <w:p w:rsidR="00BB3798" w:rsidRPr="00036A50" w:rsidRDefault="00BB3798" w:rsidP="00BB3798">
      <w:pPr>
        <w:tabs>
          <w:tab w:val="left" w:pos="799"/>
        </w:tabs>
        <w:snapToGri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С этого периода при расчетах с собственниками жилых помещений - юридическими лицами применялся тариф для группы </w:t>
      </w:r>
      <w:r w:rsidRPr="00036A50">
        <w:rPr>
          <w:rFonts w:ascii="Times New Roman" w:hAnsi="Times New Roman" w:cs="Times New Roman"/>
          <w:sz w:val="26"/>
          <w:szCs w:val="26"/>
          <w:u w:val="single"/>
        </w:rPr>
        <w:t>«прочие потребители».</w:t>
      </w:r>
    </w:p>
    <w:p w:rsidR="00BB3798" w:rsidRPr="00036A50" w:rsidRDefault="00BB3798" w:rsidP="00BB3798">
      <w:pPr>
        <w:tabs>
          <w:tab w:val="left" w:pos="799"/>
        </w:tabs>
        <w:snapToGri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Начиная с 2016 года складывается судебная практика, в соответствии с которой в расчетах с юридическими лицами, в случае поставки ресурса для бытовых нужд в жилые помещения, принадлежащие юридическому лицу, </w:t>
      </w:r>
      <w:r w:rsidRPr="00036A50">
        <w:rPr>
          <w:rFonts w:ascii="Times New Roman" w:hAnsi="Times New Roman" w:cs="Times New Roman"/>
          <w:sz w:val="26"/>
          <w:szCs w:val="26"/>
          <w:u w:val="single"/>
        </w:rPr>
        <w:t>подлежит применению тариф для населения</w:t>
      </w:r>
      <w:r w:rsidRPr="00036A50">
        <w:rPr>
          <w:rFonts w:ascii="Times New Roman" w:hAnsi="Times New Roman" w:cs="Times New Roman"/>
          <w:sz w:val="26"/>
          <w:szCs w:val="26"/>
        </w:rPr>
        <w:t xml:space="preserve"> (дело № А76-29871/2014, дело № А76-23052/2014).</w:t>
      </w:r>
    </w:p>
    <w:p w:rsidR="00BB3798" w:rsidRPr="00036A50" w:rsidRDefault="00BB3798" w:rsidP="00BB3798">
      <w:pPr>
        <w:tabs>
          <w:tab w:val="left" w:pos="799"/>
        </w:tabs>
        <w:snapToGri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6A50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РФ от 13.01.2018 № 7 внесены изменения в Основы ценообразования в сфере теплоснабжения, утвержденные постановлением Правительства от 22.10.2012 № 1075, согласно которым перечень потребителей, приравненных к населению конкретизирован (дополнен): ТСЖ, ЖСК, ЖК или иные специализированные потребительские кооперативы либо УК и другие.</w:t>
      </w:r>
    </w:p>
    <w:p w:rsidR="00BB3798" w:rsidRPr="00036A50" w:rsidRDefault="00BB3798" w:rsidP="00BB3798">
      <w:pPr>
        <w:spacing w:after="0" w:line="0" w:lineRule="atLeast"/>
        <w:ind w:left="-851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6A50">
        <w:rPr>
          <w:rFonts w:ascii="Times New Roman" w:hAnsi="Times New Roman" w:cs="Times New Roman"/>
          <w:b/>
          <w:i/>
          <w:sz w:val="26"/>
          <w:szCs w:val="26"/>
        </w:rPr>
        <w:t>- повышению платы за теплоснабжение и соответственно выставление завышенных счетов за потребленный коммунальный ресурс (все заявления перенаправлены в ГЖИ);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6A50">
        <w:rPr>
          <w:rFonts w:ascii="Times New Roman" w:hAnsi="Times New Roman" w:cs="Times New Roman"/>
          <w:b/>
          <w:i/>
          <w:sz w:val="26"/>
          <w:szCs w:val="26"/>
        </w:rPr>
        <w:t>- некоторые обращения касаются допуска к общему имуществу многоквартирного дома провайдеров;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6A50">
        <w:rPr>
          <w:rFonts w:ascii="Times New Roman" w:hAnsi="Times New Roman" w:cs="Times New Roman"/>
          <w:b/>
          <w:i/>
          <w:sz w:val="26"/>
          <w:szCs w:val="26"/>
        </w:rPr>
        <w:t>- транспортировка тел умерших из больниц в морги хозяйствующими субъектами и ИП на безвозмездной основе.</w:t>
      </w:r>
    </w:p>
    <w:p w:rsidR="00BB3798" w:rsidRPr="00036A50" w:rsidRDefault="00BB3798" w:rsidP="00BB3798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По мнению Челябинского УФАС России, транспортировка тел умерших из отделений медицинских учреждений в патологоанатомическое отделение и из патологоанатомического отделения в бюро судебной экспертизы является потребностью медицинских учреждений, которая должна реализоваться путем проведения закупки в соответствии с требованиями Закона о закупках.</w:t>
      </w:r>
    </w:p>
    <w:p w:rsidR="00BB3798" w:rsidRPr="00036A50" w:rsidRDefault="00BB3798" w:rsidP="00BB37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ab/>
        <w:t xml:space="preserve">Так, в отдельных субъектах РФ, в частности в г. Екатеринбурге, г. Оренбурге, г. Улан-Удэ медицинские учреждения проводят закупки в соответствии с </w:t>
      </w:r>
      <w:proofErr w:type="gramStart"/>
      <w:r w:rsidRPr="00036A50">
        <w:rPr>
          <w:rFonts w:ascii="Times New Roman" w:hAnsi="Times New Roman" w:cs="Times New Roman"/>
          <w:sz w:val="26"/>
          <w:szCs w:val="26"/>
        </w:rPr>
        <w:t>требованиями  Закона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о закупках на право заключения договора на перевозку тел умерших из отделений до морга или бюро судебной экспертизы и по итогам проведения закупки заключают контракты с победителем.</w:t>
      </w:r>
    </w:p>
    <w:p w:rsidR="00BB3798" w:rsidRPr="00036A50" w:rsidRDefault="00BB3798" w:rsidP="00BB37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ab/>
        <w:t>Антимонопольным органом установлено, что средства на транспортировку умерших лиц из отделений медицинского учреждения до морга не выделяются из средств фонда обязательного медицинского страхования.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Челябинское УФАС России обращает внимание на то, что прямого запрета в действующем законодательстве на заключение безвозмездных договоров на перевозку тел умерших из отделений медицинских учреждений в морг нет.</w:t>
      </w:r>
      <w:r w:rsidRPr="00036A50">
        <w:rPr>
          <w:rFonts w:ascii="Times New Roman" w:hAnsi="Times New Roman" w:cs="Times New Roman"/>
          <w:sz w:val="26"/>
          <w:szCs w:val="26"/>
        </w:rPr>
        <w:tab/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A50">
        <w:rPr>
          <w:rFonts w:ascii="Times New Roman" w:hAnsi="Times New Roman" w:cs="Times New Roman"/>
          <w:b/>
          <w:sz w:val="26"/>
          <w:szCs w:val="26"/>
        </w:rPr>
        <w:t>Согласование регулятором дорогостоящего технического решения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A5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36A50">
        <w:rPr>
          <w:rFonts w:ascii="Times New Roman" w:hAnsi="Times New Roman" w:cs="Times New Roman"/>
          <w:sz w:val="26"/>
          <w:szCs w:val="26"/>
        </w:rPr>
        <w:t xml:space="preserve">При утверждении тарифа на технологическое присоединение к сетям теплоснабжения в индивидуальном порядке РСО - владелец сетей, предлагает вариант самого дорогостоящего подключения без минимизации затрат, путем включения в тариф </w:t>
      </w:r>
      <w:r w:rsidRPr="00036A50">
        <w:rPr>
          <w:rFonts w:ascii="Times New Roman" w:hAnsi="Times New Roman" w:cs="Times New Roman"/>
          <w:sz w:val="26"/>
          <w:szCs w:val="26"/>
        </w:rPr>
        <w:lastRenderedPageBreak/>
        <w:t>расходов на приобретение продукта иностранного производства, цена которого во много раз превышает существующие аналоги, в том числе российского производства.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Кроме того, обе компании - РСО и поставщик оборудования, являются выходцами из одного иностранного государства, в связи с чем возникают вопросы относительно рациональности действий РСО по приобретению дорогостоящего оборудования.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Изложенное приводит к выводу о том, что техническое решение по подключению сформировано под определенного иностранного поставщика в рамках реконструкции тепловых сетей.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- РСО при проведении закупок определял стоимость работ по проектированию не на основании укрупненных сметных нормативов, а на основании собственных разработанных прейскурантов, не предусмотренных действующим градостроительным и тарифным законодательством, кроме того включал в цену расходы на прохождение экспертизы проектной документации, тогда как прохождение такой экспертизы не является обязательным, что в итоге привело к завышению стоимости работ по договорам.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Более того, впоследствии при исполнении договоров неоднократно менялись состав, объемы и стоимость соответствующих работ.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Разработанная проектно-сметная документация является техническим заданием на выполнение строительно-монтажных работ (реконструкция, строительство тепловых сетей).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Начальная цена договоров на выполнение строительно-монтажных работ также определялась без учета ограничений по величине расходов на реконструкцию и строительство сетей, установленных тарифным законодательством (не выше укрупненных сметных нормативов).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Более того, цена указанных договоров не фиксировалась и могла корректироваться в сторону увеличения при превышении подрядчиком объемов и стоимости работ.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Изложенное приводит к выводу о том, что закупки на выполнение работ по разработке проектно-сметной документации и выполнение строительно-монтажных работ проведены под определенных поставщиков.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664F" w:rsidRPr="00036A50" w:rsidRDefault="00BB3798" w:rsidP="00FC664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A50">
        <w:rPr>
          <w:rFonts w:ascii="Times New Roman" w:hAnsi="Times New Roman" w:cs="Times New Roman"/>
          <w:b/>
          <w:sz w:val="26"/>
          <w:szCs w:val="26"/>
        </w:rPr>
        <w:t>Рассмотрение в суде</w:t>
      </w:r>
    </w:p>
    <w:p w:rsidR="00FC664F" w:rsidRPr="00036A50" w:rsidRDefault="00FC664F" w:rsidP="00FC664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664F" w:rsidRPr="00BB3798" w:rsidRDefault="00FC664F" w:rsidP="00FC664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798">
        <w:rPr>
          <w:rFonts w:ascii="Times New Roman" w:eastAsia="Microsoft YaHei" w:hAnsi="Times New Roman" w:cs="Times New Roman"/>
          <w:spacing w:val="3"/>
          <w:sz w:val="26"/>
          <w:szCs w:val="26"/>
          <w:lang w:eastAsia="ar-SA"/>
        </w:rPr>
        <w:t xml:space="preserve">В пользу Челябинского УФАС России закончился ряд судебных процессов по обжалованию решения, предписаний, постановлений Челябинского УФАС России, которыми </w:t>
      </w:r>
      <w:r w:rsidRPr="00BB3798">
        <w:rPr>
          <w:rFonts w:ascii="Times New Roman" w:eastAsia="Microsoft YaHei" w:hAnsi="Times New Roman" w:cs="Times New Roman"/>
          <w:color w:val="000000"/>
          <w:sz w:val="26"/>
          <w:szCs w:val="26"/>
          <w:shd w:val="clear" w:color="auto" w:fill="FFFFFF"/>
        </w:rPr>
        <w:t>ООО «Эра», ООО Строительная компания «Магма» и ООО «</w:t>
      </w:r>
      <w:proofErr w:type="spellStart"/>
      <w:r w:rsidRPr="00BB3798">
        <w:rPr>
          <w:rFonts w:ascii="Times New Roman" w:eastAsia="Microsoft YaHei" w:hAnsi="Times New Roman" w:cs="Times New Roman"/>
          <w:color w:val="000000"/>
          <w:sz w:val="26"/>
          <w:szCs w:val="26"/>
          <w:shd w:val="clear" w:color="auto" w:fill="FFFFFF"/>
        </w:rPr>
        <w:t>Тотачи</w:t>
      </w:r>
      <w:proofErr w:type="spellEnd"/>
      <w:r w:rsidRPr="00BB3798">
        <w:rPr>
          <w:rFonts w:ascii="Times New Roman" w:eastAsia="Microsoft YaHei" w:hAnsi="Times New Roman" w:cs="Times New Roman"/>
          <w:color w:val="000000"/>
          <w:sz w:val="26"/>
          <w:szCs w:val="26"/>
          <w:shd w:val="clear" w:color="auto" w:fill="FFFFFF"/>
        </w:rPr>
        <w:t xml:space="preserve">-Сервис» </w:t>
      </w:r>
      <w:r w:rsidRPr="00BB3798">
        <w:rPr>
          <w:rFonts w:ascii="Times New Roman" w:eastAsia="Microsoft YaHei" w:hAnsi="Times New Roman" w:cs="Times New Roman"/>
          <w:spacing w:val="3"/>
          <w:sz w:val="26"/>
          <w:szCs w:val="26"/>
          <w:lang w:eastAsia="ar-SA"/>
        </w:rPr>
        <w:t xml:space="preserve">признаны нарушившими пункт 2 части 1 статьи 11 Закона о защите конкуренции. </w:t>
      </w:r>
      <w:r w:rsidRPr="00BB379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ООО «</w:t>
      </w:r>
      <w:proofErr w:type="spellStart"/>
      <w:r w:rsidRPr="00BB379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Тотачи</w:t>
      </w:r>
      <w:proofErr w:type="spellEnd"/>
      <w:r w:rsidRPr="00BB379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-Сервис», а также должностному лицу общества не удалось оспорить административные штрафы за сговор на торгах.</w:t>
      </w:r>
    </w:p>
    <w:p w:rsidR="00FC664F" w:rsidRPr="00BB3798" w:rsidRDefault="00FC664F" w:rsidP="00FC664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3798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Закончились судебные процессы по обжалованию 14 постановлений о наложении административных штрафов за нарушения правил подключения к инженерным сетям. Суды подтвердили законность вынесенных постановлений.</w:t>
      </w:r>
    </w:p>
    <w:p w:rsidR="00FC664F" w:rsidRPr="00BB3798" w:rsidRDefault="00FC664F" w:rsidP="00FC664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3798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 закончилось 6 судебных процессов по обжалованию 6 постановлений о привлечении к административной ответственности организаторов торгов по реализации арестованного имущества и имущества банкротов.</w:t>
      </w:r>
    </w:p>
    <w:p w:rsidR="00FC664F" w:rsidRPr="00036A50" w:rsidRDefault="00FC664F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798" w:rsidRPr="00036A50" w:rsidRDefault="00BB3798" w:rsidP="00BB3798">
      <w:pPr>
        <w:pStyle w:val="a8"/>
        <w:shd w:val="clear" w:color="auto" w:fill="FFFFFF"/>
        <w:spacing w:before="0" w:after="0"/>
        <w:ind w:left="-851" w:firstLine="567"/>
        <w:jc w:val="both"/>
        <w:textAlignment w:val="baseline"/>
        <w:rPr>
          <w:sz w:val="26"/>
          <w:szCs w:val="26"/>
        </w:rPr>
      </w:pPr>
      <w:r w:rsidRPr="00036A50">
        <w:rPr>
          <w:color w:val="000000"/>
          <w:sz w:val="26"/>
          <w:szCs w:val="26"/>
        </w:rPr>
        <w:t>Челябинским УФАС России в конце 2016 года вынесено решение в отношении трех хозяйствующих субъектов</w:t>
      </w:r>
      <w:r w:rsidRPr="00036A50">
        <w:rPr>
          <w:sz w:val="26"/>
          <w:szCs w:val="26"/>
        </w:rPr>
        <w:t>: ООО «Мастер-Сервис», ООО «Мастер-Комфорт», ООО «Гарант», которые в период 2015 года – 1 квартал 2016 года, кото</w:t>
      </w:r>
      <w:r w:rsidR="003C7FD9" w:rsidRPr="00036A50">
        <w:rPr>
          <w:sz w:val="26"/>
          <w:szCs w:val="26"/>
        </w:rPr>
        <w:t>рые заключили устное соглашение</w:t>
      </w:r>
      <w:r w:rsidRPr="00036A50">
        <w:rPr>
          <w:sz w:val="26"/>
          <w:szCs w:val="26"/>
        </w:rPr>
        <w:t xml:space="preserve"> на раздел рынков оказания услуг по техническому обслуживанию </w:t>
      </w:r>
      <w:proofErr w:type="gramStart"/>
      <w:r w:rsidRPr="00036A50">
        <w:rPr>
          <w:sz w:val="26"/>
          <w:szCs w:val="26"/>
        </w:rPr>
        <w:t xml:space="preserve">сетей  </w:t>
      </w:r>
      <w:r w:rsidRPr="00036A50">
        <w:rPr>
          <w:sz w:val="26"/>
          <w:szCs w:val="26"/>
        </w:rPr>
        <w:lastRenderedPageBreak/>
        <w:t>(</w:t>
      </w:r>
      <w:proofErr w:type="gramEnd"/>
      <w:r w:rsidRPr="00036A50">
        <w:rPr>
          <w:sz w:val="26"/>
          <w:szCs w:val="26"/>
        </w:rPr>
        <w:t>инженерные сети, электрические сети) по территориальному принципу, а также к поддержанию цены на указанные услуги:</w:t>
      </w:r>
    </w:p>
    <w:p w:rsidR="00BB3798" w:rsidRPr="00036A50" w:rsidRDefault="00BB3798" w:rsidP="00BB3798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36A50">
        <w:rPr>
          <w:rFonts w:ascii="Times New Roman" w:hAnsi="Times New Roman" w:cs="Times New Roman"/>
          <w:sz w:val="26"/>
          <w:szCs w:val="26"/>
        </w:rPr>
        <w:t>заключают  договоры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исключительно по  территориальному принципу;</w:t>
      </w:r>
    </w:p>
    <w:p w:rsidR="00BB3798" w:rsidRPr="00036A50" w:rsidRDefault="00BB3798" w:rsidP="00BB379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- коммерческие предложения идентичны по цене для учреждений, с которыми заключены соответствующие договоры и различаются по ценам, </w:t>
      </w:r>
      <w:proofErr w:type="gramStart"/>
      <w:r w:rsidRPr="00036A50">
        <w:rPr>
          <w:rFonts w:ascii="Times New Roman" w:hAnsi="Times New Roman" w:cs="Times New Roman"/>
          <w:sz w:val="26"/>
          <w:szCs w:val="26"/>
        </w:rPr>
        <w:t>предлагаемым  учреждениям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г. Челябинска, с которыми указанные общества фактически не намерены заключать соответствующие;</w:t>
      </w:r>
    </w:p>
    <w:p w:rsidR="00FC664F" w:rsidRPr="00036A50" w:rsidRDefault="00BB3798" w:rsidP="00FC664F">
      <w:pPr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-  использовали единую диспетчерскую службу.</w:t>
      </w:r>
    </w:p>
    <w:p w:rsidR="00FC664F" w:rsidRPr="00036A50" w:rsidRDefault="00FC664F" w:rsidP="00FC664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Дело прошло две инстанции, в удовлетворении требований заявителям было отказано, решение и предписания признаны законными и обоснованными. Штрафы оплачены (более 5 млн.).</w:t>
      </w:r>
    </w:p>
    <w:p w:rsidR="00FC664F" w:rsidRPr="00036A50" w:rsidRDefault="00FC664F" w:rsidP="00FC66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798" w:rsidRPr="00036A50" w:rsidRDefault="00BB3798" w:rsidP="00BB379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798" w:rsidRPr="00036A50" w:rsidRDefault="00BB3798" w:rsidP="00BB379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A50">
        <w:rPr>
          <w:rFonts w:ascii="Times New Roman" w:hAnsi="Times New Roman" w:cs="Times New Roman"/>
          <w:b/>
          <w:sz w:val="26"/>
          <w:szCs w:val="26"/>
        </w:rPr>
        <w:t>Предупреждение</w:t>
      </w:r>
    </w:p>
    <w:p w:rsidR="00BB3798" w:rsidRPr="00036A50" w:rsidRDefault="00BB3798" w:rsidP="00BB379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В указанный период выдано 1 предупреждение Министерству строительства и инфраструктуры Челябинской области.</w:t>
      </w:r>
    </w:p>
    <w:p w:rsidR="00BB3798" w:rsidRPr="00036A50" w:rsidRDefault="00BB3798" w:rsidP="00BB3798">
      <w:pPr>
        <w:widowControl w:val="0"/>
        <w:suppressAutoHyphens/>
        <w:autoSpaceDE w:val="0"/>
        <w:spacing w:after="0" w:line="240" w:lineRule="auto"/>
        <w:ind w:left="-851" w:firstLine="54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</w:pPr>
      <w:r w:rsidRPr="00036A50">
        <w:rPr>
          <w:rFonts w:ascii="Times New Roman" w:hAnsi="Times New Roman" w:cs="Times New Roman"/>
          <w:sz w:val="26"/>
          <w:szCs w:val="26"/>
        </w:rPr>
        <w:t>Действия Министерства строительства и инфраструктуры Челябинской области</w:t>
      </w:r>
      <w:r w:rsidRPr="00036A50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 xml:space="preserve">, выразившихся </w:t>
      </w:r>
      <w:r w:rsidRPr="00036A5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>в</w:t>
      </w:r>
      <w:r w:rsidRPr="00036A5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fa-IR" w:bidi="fa-IR"/>
        </w:rPr>
        <w:t xml:space="preserve"> </w:t>
      </w:r>
      <w:r w:rsidRPr="00036A50">
        <w:rPr>
          <w:rFonts w:ascii="Times New Roman" w:hAnsi="Times New Roman" w:cs="Times New Roman"/>
          <w:color w:val="000000"/>
          <w:sz w:val="26"/>
          <w:szCs w:val="26"/>
        </w:rPr>
        <w:t xml:space="preserve">исключении ООО «Технологии комфортной жизни плюс» из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в многоквартирных домах, расположенных на территории Челябинской области, </w:t>
      </w:r>
      <w:r w:rsidRPr="00036A50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>признаков нарушения части 1 статьи 15, в том числе пункта 2  части 1 статьи 15 Закон о защите конкуренции.</w:t>
      </w:r>
    </w:p>
    <w:p w:rsidR="00BB3798" w:rsidRPr="00036A50" w:rsidRDefault="00BB3798" w:rsidP="00BB3798">
      <w:pPr>
        <w:widowControl w:val="0"/>
        <w:suppressAutoHyphens/>
        <w:autoSpaceDE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6A50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>Министерству  необходимо</w:t>
      </w:r>
      <w:proofErr w:type="gramEnd"/>
      <w:r w:rsidRPr="00036A50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 xml:space="preserve"> </w:t>
      </w:r>
      <w:r w:rsidRPr="00036A50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fa-IR" w:bidi="fa-IR"/>
        </w:rPr>
        <w:t>в</w:t>
      </w:r>
      <w:r w:rsidRPr="00036A50">
        <w:rPr>
          <w:rFonts w:ascii="Times New Roman" w:eastAsia="Times New Roman" w:hAnsi="Times New Roman" w:cs="Times New Roman"/>
          <w:kern w:val="2"/>
          <w:sz w:val="26"/>
          <w:szCs w:val="26"/>
          <w:lang w:eastAsia="fa-IR" w:bidi="fa-IR"/>
        </w:rPr>
        <w:t xml:space="preserve"> </w:t>
      </w:r>
      <w:r w:rsidRPr="00036A50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fa-IR" w:bidi="fa-IR"/>
        </w:rPr>
        <w:t>срок до 16 апреля 2018 года прекратить указанные действия, путем</w:t>
      </w:r>
      <w:r w:rsidRPr="00036A50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 xml:space="preserve"> созыва комиссии по проведению предварительного отбора для рассмотрения вопроса об </w:t>
      </w:r>
      <w:r w:rsidRPr="00036A5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отмене решения об исключении из реестра квалифицированных подрядных организаций </w:t>
      </w:r>
      <w:r w:rsidRPr="00036A50">
        <w:rPr>
          <w:rFonts w:ascii="Times New Roman" w:hAnsi="Times New Roman" w:cs="Times New Roman"/>
          <w:color w:val="000000"/>
          <w:sz w:val="26"/>
          <w:szCs w:val="26"/>
        </w:rPr>
        <w:t>ООО «Технологии комфортной жизни плюс», оформленного протоколом от 24.11.2017.</w:t>
      </w:r>
    </w:p>
    <w:p w:rsidR="00BB3798" w:rsidRPr="00036A50" w:rsidRDefault="00BB3798" w:rsidP="00BB3798">
      <w:pPr>
        <w:widowControl w:val="0"/>
        <w:suppressAutoHyphens/>
        <w:autoSpaceDE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sz w:val="26"/>
          <w:szCs w:val="26"/>
        </w:rPr>
        <w:t xml:space="preserve">По итогам предварительного отбора </w:t>
      </w:r>
      <w:r w:rsidRPr="00036A50">
        <w:rPr>
          <w:rFonts w:ascii="Times New Roman" w:hAnsi="Times New Roman" w:cs="Times New Roman"/>
          <w:sz w:val="26"/>
          <w:szCs w:val="26"/>
        </w:rPr>
        <w:t xml:space="preserve">Министерством строительства и инфраструктуры Челябинской области принято решение от 07.12.2016 о включении </w:t>
      </w:r>
      <w:r w:rsidRPr="00036A50">
        <w:rPr>
          <w:rFonts w:ascii="Times New Roman" w:hAnsi="Times New Roman" w:cs="Times New Roman"/>
          <w:color w:val="000000"/>
          <w:sz w:val="26"/>
          <w:szCs w:val="26"/>
        </w:rPr>
        <w:t xml:space="preserve">ООО «Технологии комфортной жизни плюс» </w:t>
      </w:r>
      <w:r w:rsidRPr="00036A50">
        <w:rPr>
          <w:rFonts w:ascii="Times New Roman" w:eastAsia="Arial" w:hAnsi="Times New Roman" w:cs="Times New Roman"/>
          <w:kern w:val="2"/>
          <w:sz w:val="26"/>
          <w:szCs w:val="26"/>
          <w:lang w:eastAsia="fa-IR" w:bidi="fa-IR"/>
        </w:rPr>
        <w:t>в</w:t>
      </w:r>
      <w:r w:rsidRPr="00036A50">
        <w:rPr>
          <w:rFonts w:ascii="Times New Roman" w:hAnsi="Times New Roman" w:cs="Times New Roman"/>
          <w:color w:val="000000"/>
          <w:sz w:val="26"/>
          <w:szCs w:val="26"/>
        </w:rPr>
        <w:t xml:space="preserve">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в многоквартирных домах, расположенных на территории Челябинской области.</w:t>
      </w:r>
    </w:p>
    <w:p w:rsidR="00BB3798" w:rsidRPr="00036A50" w:rsidRDefault="00BB3798" w:rsidP="00BB379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СНОФ «Региональный оператор капитального ремонта общего имущества в многоквартирных домах Челябинской области» проведен электронный аукцион</w:t>
      </w:r>
      <w:r w:rsidRPr="00036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6A50">
        <w:rPr>
          <w:rFonts w:ascii="Times New Roman" w:hAnsi="Times New Roman" w:cs="Times New Roman"/>
          <w:sz w:val="26"/>
          <w:szCs w:val="26"/>
        </w:rPr>
        <w:t xml:space="preserve">на оказание услуг по разработке проектно-сметной документации на проведение работ по капитальному ремонту общего имущества многоквартирных домов Челябинской области, победителем </w:t>
      </w:r>
      <w:proofErr w:type="gramStart"/>
      <w:r w:rsidRPr="00036A50">
        <w:rPr>
          <w:rFonts w:ascii="Times New Roman" w:hAnsi="Times New Roman" w:cs="Times New Roman"/>
          <w:sz w:val="26"/>
          <w:szCs w:val="26"/>
        </w:rPr>
        <w:t>признан  ООО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«Технологии комфортной жизни плюс», которому 13.06.2017  Фонд направил проект договора на электронную площадку для подписания победителем.  Однако, вместе с подписанным проектом договора представило банковскую гарантию, выданную 20.06.2017 ООО «Современный коммерческий инновационный банк» в качестве обеспечения исполнения договора, вместе с тем, указанная банковская гарантия не была принята </w:t>
      </w:r>
      <w:r w:rsidRPr="00036A50">
        <w:rPr>
          <w:rFonts w:ascii="Times New Roman" w:hAnsi="Times New Roman" w:cs="Times New Roman"/>
          <w:sz w:val="26"/>
          <w:szCs w:val="26"/>
        </w:rPr>
        <w:lastRenderedPageBreak/>
        <w:t>Заказчиком в качестве обеспечения договора по причине несоответствия банковской гарантии требованиям закупочной документации.</w:t>
      </w:r>
    </w:p>
    <w:p w:rsidR="00BB3798" w:rsidRPr="00036A50" w:rsidRDefault="00BB3798" w:rsidP="00BB3798">
      <w:pPr>
        <w:widowControl w:val="0"/>
        <w:suppressAutoHyphens/>
        <w:autoSpaceDE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22.06.2017 Заказчиком составлен акт об уклонении от заключения договора.</w:t>
      </w:r>
    </w:p>
    <w:p w:rsidR="00BB3798" w:rsidRPr="00036A50" w:rsidRDefault="00BB3798" w:rsidP="00BB3798">
      <w:pPr>
        <w:widowControl w:val="0"/>
        <w:suppressAutoHyphens/>
        <w:autoSpaceDE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 В связи с чем, Министерством строительства и инфраструктуры Челябинской области принято </w:t>
      </w:r>
      <w:r w:rsidRPr="00036A5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решение об исключении из реестра квалифицированных подрядных организаций </w:t>
      </w:r>
      <w:r w:rsidRPr="00036A50">
        <w:rPr>
          <w:rFonts w:ascii="Times New Roman" w:hAnsi="Times New Roman" w:cs="Times New Roman"/>
          <w:color w:val="000000"/>
          <w:sz w:val="26"/>
          <w:szCs w:val="26"/>
        </w:rPr>
        <w:t>ООО «Технологии комфортной жизни плюс», оформленное протоколом от 24.11.2017.</w:t>
      </w:r>
    </w:p>
    <w:p w:rsidR="00BB3798" w:rsidRPr="00036A50" w:rsidRDefault="00BB3798" w:rsidP="00BB3798">
      <w:pPr>
        <w:spacing w:after="0" w:line="0" w:lineRule="atLeast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Предупреждение исполнено, ООО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ООО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«Технологии комфортной жизни плюс» включен в реестр квалифицированных подрядных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орагизаций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>.</w:t>
      </w:r>
    </w:p>
    <w:p w:rsidR="00BB3798" w:rsidRPr="00036A50" w:rsidRDefault="00BB3798" w:rsidP="00BB37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036A50" w:rsidRPr="00BB3798" w:rsidRDefault="00036A50" w:rsidP="00036A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6A50" w:rsidRPr="00BB3798" w:rsidRDefault="00036A50" w:rsidP="00036A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B3798">
        <w:rPr>
          <w:rFonts w:ascii="Times New Roman" w:hAnsi="Times New Roman" w:cs="Times New Roman"/>
          <w:b/>
          <w:bCs/>
          <w:sz w:val="26"/>
          <w:szCs w:val="26"/>
        </w:rPr>
        <w:t>Правила подключения к инженерным сетям</w:t>
      </w:r>
    </w:p>
    <w:p w:rsidR="00036A50" w:rsidRPr="00BB3798" w:rsidRDefault="00036A50" w:rsidP="00036A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6A50" w:rsidRPr="00BB3798" w:rsidRDefault="00036A50" w:rsidP="0003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Еще одной сферой контроля со стороны антимонопольного органа является контроль за соблюдением Правил о подключении к инженерным сетям.</w:t>
      </w:r>
    </w:p>
    <w:p w:rsidR="00036A50" w:rsidRPr="00BB3798" w:rsidRDefault="00036A50" w:rsidP="0003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В Челябинское УФАС России рассмотрено 69 обращений на нарушение Правил подключения.</w:t>
      </w:r>
    </w:p>
    <w:p w:rsidR="00036A50" w:rsidRPr="00BB3798" w:rsidRDefault="00036A50" w:rsidP="0003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Заявители чаще всего обращались на действия субъектов естественных монополий по следующим основаниям.</w:t>
      </w:r>
    </w:p>
    <w:p w:rsidR="00036A50" w:rsidRPr="00BB3798" w:rsidRDefault="00036A50" w:rsidP="00036A50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proofErr w:type="spellStart"/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неотнесение</w:t>
      </w:r>
      <w:proofErr w:type="spellEnd"/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 потребителей к «льготной категории»;</w:t>
      </w:r>
    </w:p>
    <w:p w:rsidR="00036A50" w:rsidRPr="00BB3798" w:rsidRDefault="00036A50" w:rsidP="00036A50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распределение мероприятий по тех. присоединению с нарушением Правил присоединения (может привести к увеличению стоимости подключения);</w:t>
      </w:r>
    </w:p>
    <w:p w:rsidR="00036A50" w:rsidRPr="00BB3798" w:rsidRDefault="00036A50" w:rsidP="00036A50">
      <w:pPr>
        <w:numPr>
          <w:ilvl w:val="1"/>
          <w:numId w:val="7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уклонение \ отказ от заключения договора на тех. присоединение;</w:t>
      </w:r>
    </w:p>
    <w:p w:rsidR="00036A50" w:rsidRPr="00BB3798" w:rsidRDefault="00036A50" w:rsidP="00036A50">
      <w:pPr>
        <w:numPr>
          <w:ilvl w:val="1"/>
          <w:numId w:val="7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нарушение сроков тех. присоединения, в том числе заключение дополнительных соглашений о продлении срока действия договора, в случаях, не предусмотренных законом;</w:t>
      </w:r>
    </w:p>
    <w:p w:rsidR="00036A50" w:rsidRPr="00BB3798" w:rsidRDefault="00036A50" w:rsidP="00036A50">
      <w:pPr>
        <w:numPr>
          <w:ilvl w:val="1"/>
          <w:numId w:val="7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нарушение сроков выдачи договора и ТУ;</w:t>
      </w:r>
    </w:p>
    <w:p w:rsidR="00036A50" w:rsidRPr="00BB3798" w:rsidRDefault="00036A50" w:rsidP="00036A50">
      <w:pPr>
        <w:numPr>
          <w:ilvl w:val="1"/>
          <w:numId w:val="7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 включение в договор и ТУ требований, не предусмотренных Правилами подключения.</w:t>
      </w:r>
    </w:p>
    <w:p w:rsidR="00036A50" w:rsidRPr="00BB3798" w:rsidRDefault="00036A50" w:rsidP="0003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</w:pPr>
      <w:r w:rsidRPr="00BB3798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>Так, в отчетном периоде за нарушение правил подключения вынесено 29 постановлений о привлечении к административной ответственности на общую сумму 5,5 млн. руб., взыскано в федеральный бюджет более 4 млн. рублей.</w:t>
      </w:r>
    </w:p>
    <w:p w:rsidR="00036A50" w:rsidRPr="00BB3798" w:rsidRDefault="00036A50" w:rsidP="00036A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6A50" w:rsidRPr="00BB3798" w:rsidRDefault="00036A50" w:rsidP="0003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798">
        <w:rPr>
          <w:rFonts w:ascii="Times New Roman" w:hAnsi="Times New Roman" w:cs="Times New Roman"/>
          <w:b/>
          <w:bCs/>
          <w:sz w:val="26"/>
          <w:szCs w:val="26"/>
        </w:rPr>
        <w:t>Обзор изменений, внесенных в Правила подключения к газораспределительным сетям</w:t>
      </w:r>
    </w:p>
    <w:p w:rsidR="00036A50" w:rsidRPr="00BB3798" w:rsidRDefault="00036A50" w:rsidP="0003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A50" w:rsidRPr="00BB3798" w:rsidRDefault="00036A50" w:rsidP="00036A5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Постановлениями Правительства РФ от 19.06.2017 № 727; от 02.08.2017 № 924; от 30.01.2018 № 82 внесены следующие изменения:</w:t>
      </w:r>
    </w:p>
    <w:p w:rsidR="00036A50" w:rsidRPr="00BB3798" w:rsidRDefault="00036A50" w:rsidP="00036A50">
      <w:pPr>
        <w:numPr>
          <w:ilvl w:val="0"/>
          <w:numId w:val="2"/>
        </w:num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устанавливается, что пуск газа на построенное газоиспользующее оборудование для проведения пусконаладочных работ и приемки оборудования в эксплуатацию производится на основании акта о готовности сетей газораспределения и газоиспользующего оборудования объекта капитального строительства к подключению;</w:t>
      </w:r>
    </w:p>
    <w:p w:rsidR="00036A50" w:rsidRPr="00BB3798" w:rsidRDefault="00036A50" w:rsidP="00036A50">
      <w:pPr>
        <w:numPr>
          <w:ilvl w:val="0"/>
          <w:numId w:val="2"/>
        </w:num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 xml:space="preserve">скорректированы требования к содержанию запроса о предоставлении технических условий для присоединения к сетям газоснабжения. Так, к запросу на получение ТУ, в числе прочего, должен прилагаться документ, подтверждающий право собственности или иное </w:t>
      </w: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lastRenderedPageBreak/>
        <w:t>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036A50" w:rsidRPr="00BB3798" w:rsidRDefault="00036A50" w:rsidP="00036A50">
      <w:pPr>
        <w:numPr>
          <w:ilvl w:val="0"/>
          <w:numId w:val="2"/>
        </w:num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расширяется перечень информации, которую должны содержать технические условия. В случае предоставления технических условий на присоединение объекта сети газораспределения к другой сети газораспределения технические условия должны включать:</w:t>
      </w:r>
    </w:p>
    <w:p w:rsidR="00036A50" w:rsidRPr="00BB3798" w:rsidRDefault="00036A50" w:rsidP="00036A50">
      <w:pPr>
        <w:numPr>
          <w:ilvl w:val="0"/>
          <w:numId w:val="5"/>
        </w:numPr>
        <w:kinsoku w:val="0"/>
        <w:overflowPunct w:val="0"/>
        <w:spacing w:after="0" w:line="240" w:lineRule="auto"/>
        <w:ind w:firstLine="273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наименование присоединяемого объекта сети газораспределения;</w:t>
      </w:r>
    </w:p>
    <w:p w:rsidR="00036A50" w:rsidRPr="00BB3798" w:rsidRDefault="00036A50" w:rsidP="00036A50">
      <w:pPr>
        <w:numPr>
          <w:ilvl w:val="0"/>
          <w:numId w:val="5"/>
        </w:numPr>
        <w:kinsoku w:val="0"/>
        <w:overflowPunct w:val="0"/>
        <w:spacing w:after="0" w:line="240" w:lineRule="auto"/>
        <w:ind w:firstLine="273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характеристику существующей сети газораспределения в точке присоединения.</w:t>
      </w:r>
    </w:p>
    <w:p w:rsidR="00036A50" w:rsidRPr="00BB3798" w:rsidRDefault="00036A50" w:rsidP="00036A50">
      <w:pPr>
        <w:numPr>
          <w:ilvl w:val="0"/>
          <w:numId w:val="3"/>
        </w:num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предусматривается, что срок действия технических условий составляет не менее 5 лет со дня их выдачи -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газораспределения в рамках утвержденной в установленном порядке программы газификации или реконструкции объекта существующей сети газораспределения, принадлежащего ему на праве собственности;</w:t>
      </w:r>
    </w:p>
    <w:p w:rsidR="00036A50" w:rsidRPr="00BB3798" w:rsidRDefault="00036A50" w:rsidP="00036A50">
      <w:pPr>
        <w:numPr>
          <w:ilvl w:val="0"/>
          <w:numId w:val="3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сокращены сроки осуществления действий ГРО, заявителя;</w:t>
      </w:r>
    </w:p>
    <w:p w:rsidR="00036A50" w:rsidRPr="00BB3798" w:rsidRDefault="00036A50" w:rsidP="00036A50">
      <w:pPr>
        <w:numPr>
          <w:ilvl w:val="0"/>
          <w:numId w:val="3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введено понятие мониторинг ГРО выполнения заявителем технических условий;</w:t>
      </w:r>
    </w:p>
    <w:p w:rsidR="00036A50" w:rsidRPr="00BB3798" w:rsidRDefault="00036A50" w:rsidP="00036A50">
      <w:pPr>
        <w:numPr>
          <w:ilvl w:val="0"/>
          <w:numId w:val="3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установлена обязанность ГРО запрашивать недостающие документы и информацию при рассмотрении заявки на подключение;</w:t>
      </w:r>
    </w:p>
    <w:p w:rsidR="00036A50" w:rsidRPr="00BB3798" w:rsidRDefault="00036A50" w:rsidP="00036A5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</w:p>
    <w:p w:rsidR="00036A50" w:rsidRPr="00BB3798" w:rsidRDefault="00036A50" w:rsidP="00036A5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b/>
          <w:bCs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b/>
          <w:bCs/>
          <w:kern w:val="24"/>
          <w:sz w:val="26"/>
          <w:szCs w:val="26"/>
          <w:lang w:eastAsia="ru-RU"/>
        </w:rPr>
        <w:t>Упрощен порядок технологического присоединения объектов капитального строительства к сетям газоснабжения, в частности:</w:t>
      </w:r>
    </w:p>
    <w:p w:rsidR="00036A50" w:rsidRPr="00BB3798" w:rsidRDefault="00036A50" w:rsidP="00036A5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A50" w:rsidRPr="00BB3798" w:rsidRDefault="00036A50" w:rsidP="00036A50">
      <w:pPr>
        <w:numPr>
          <w:ilvl w:val="0"/>
          <w:numId w:val="4"/>
        </w:num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устанавливается возможность приема заявок потребителей на технологическое присоединение с использованием сети «Интернет» и возможность отслеживания исполнения запроса о предоставлении технических условий, заявки о заключении договора на подключение и мероприятий по подключению через сеть «Интернет»;</w:t>
      </w:r>
    </w:p>
    <w:p w:rsidR="00036A50" w:rsidRPr="00BB3798" w:rsidRDefault="00036A50" w:rsidP="00036A50">
      <w:pPr>
        <w:numPr>
          <w:ilvl w:val="0"/>
          <w:numId w:val="4"/>
        </w:num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с 20 до 15 рабочих дней сокращаются сроки выдачи проектов договоров на подключение между заявителем и исполнителем (газораспределительной организацией), а в случае отсутствия необходимости строительства сети газораспределения до участка заявителя - до 5 рабочих дней; также с 30 до 22 рабочих дней сокращаются сроки утверждения платы за технологическое присоединение по индивидуальному проекту.</w:t>
      </w:r>
    </w:p>
    <w:p w:rsidR="00036A50" w:rsidRPr="00BB3798" w:rsidRDefault="00036A50" w:rsidP="00036A50">
      <w:pPr>
        <w:numPr>
          <w:ilvl w:val="0"/>
          <w:numId w:val="4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на газораспределительные организации возложена обязанность по раскрытию информации в части основных этапов поступления и обработки заявок потребителей на подключение;</w:t>
      </w:r>
    </w:p>
    <w:p w:rsidR="00036A50" w:rsidRPr="00BB3798" w:rsidRDefault="00036A50" w:rsidP="00036A50">
      <w:pPr>
        <w:numPr>
          <w:ilvl w:val="0"/>
          <w:numId w:val="4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на газотранспортные организации возложена обязанность раскрывать информацию о дефиците пропускной способности в точках выхода из системы магистральных газопроводов;</w:t>
      </w:r>
    </w:p>
    <w:p w:rsidR="00036A50" w:rsidRPr="00BB3798" w:rsidRDefault="00036A50" w:rsidP="00036A50">
      <w:pPr>
        <w:numPr>
          <w:ilvl w:val="0"/>
          <w:numId w:val="4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 xml:space="preserve">скорректированы механизм и регламент перераспределения неиспользуемой (но забронированной потребителем) мощности в адрес других заявителей, порядок оформления (переоформления) документов, подтверждающих факт технологического присоединения и соответствующие </w:t>
      </w: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lastRenderedPageBreak/>
        <w:t>максимальные объемы потребления газа газоиспользующим оборудованием, порядок внесения платы за технологическое присоединение в случае задержек заявителем выполнения мероприятий по договору о подключении;</w:t>
      </w:r>
    </w:p>
    <w:p w:rsidR="00036A50" w:rsidRPr="00BB3798" w:rsidRDefault="00036A50" w:rsidP="00036A50">
      <w:pPr>
        <w:numPr>
          <w:ilvl w:val="0"/>
          <w:numId w:val="4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установлена возможность определения предварительного размера платы за технологическое присоединение по объектам, относящимся к категории «индивидуальный проект», на основании предварительных сметных расчетов;</w:t>
      </w:r>
    </w:p>
    <w:p w:rsidR="00036A50" w:rsidRPr="00BB3798" w:rsidRDefault="00036A50" w:rsidP="00036A50">
      <w:pPr>
        <w:numPr>
          <w:ilvl w:val="0"/>
          <w:numId w:val="4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BB3798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уточнены понятия «точка подключения», «исполнитель», «заявитель», «фактическое присоединение».</w:t>
      </w:r>
    </w:p>
    <w:p w:rsidR="00036A50" w:rsidRPr="00BB3798" w:rsidRDefault="00036A50" w:rsidP="00036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798" w:rsidRPr="00036A50" w:rsidRDefault="00BB3798" w:rsidP="00BB3798">
      <w:pPr>
        <w:rPr>
          <w:rFonts w:ascii="Times New Roman" w:hAnsi="Times New Roman" w:cs="Times New Roman"/>
          <w:b/>
          <w:sz w:val="26"/>
          <w:szCs w:val="26"/>
        </w:rPr>
      </w:pPr>
    </w:p>
    <w:p w:rsidR="00036A50" w:rsidRPr="00036A50" w:rsidRDefault="00036A50" w:rsidP="00036A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A50">
        <w:rPr>
          <w:rFonts w:ascii="Times New Roman" w:hAnsi="Times New Roman" w:cs="Times New Roman"/>
          <w:b/>
          <w:sz w:val="26"/>
          <w:szCs w:val="26"/>
        </w:rPr>
        <w:t>Антимонопольный контроль органов власти</w:t>
      </w:r>
    </w:p>
    <w:p w:rsidR="00036A50" w:rsidRPr="00036A50" w:rsidRDefault="00036A50" w:rsidP="00036A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Проведенные в отношении подконтрольных лиц проверках и иных мероприятиях по контролю.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1. Типовые и массовые нарушения обязательных требований с возможными мероприятиями по их устранению.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1.1. При проведении торгов по продаже права на заключение договора аренды земельного участка (статья 39.11 ЗК РФ):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1.1.1) отсутствие в извещении о проведении торгов: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- порядка проведения аукциона;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- </w:t>
      </w:r>
      <w:r w:rsidRPr="00036A50">
        <w:rPr>
          <w:rFonts w:ascii="Times New Roman" w:eastAsia="Calibri" w:hAnsi="Times New Roman" w:cs="Times New Roman"/>
          <w:sz w:val="26"/>
          <w:szCs w:val="26"/>
        </w:rPr>
        <w:t>формы заявки на участие в аукционе;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A50">
        <w:rPr>
          <w:rFonts w:ascii="Times New Roman" w:eastAsia="Calibri" w:hAnsi="Times New Roman" w:cs="Times New Roman"/>
          <w:sz w:val="26"/>
          <w:szCs w:val="26"/>
        </w:rPr>
        <w:t>- сведений о порядке приема заявки на участие в аукционе.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1.1.2) отсутствие в протоколе рассмотрения заявок на участие в аукционе сведений о внесенных задатках;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1.1.3)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неразмещение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 на участие в </w:t>
      </w:r>
      <w:proofErr w:type="gramStart"/>
      <w:r w:rsidRPr="00036A50">
        <w:rPr>
          <w:rFonts w:ascii="Times New Roman" w:hAnsi="Times New Roman" w:cs="Times New Roman"/>
          <w:sz w:val="26"/>
          <w:szCs w:val="26"/>
        </w:rPr>
        <w:t>аукционе  на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официальном сайте торгов в установленный срок.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1.2.При проведении торгов </w:t>
      </w:r>
      <w:r w:rsidRPr="00036A5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 (</w:t>
      </w:r>
      <w:r w:rsidRPr="00036A50">
        <w:rPr>
          <w:rFonts w:ascii="Times New Roman" w:eastAsia="Lucida Sans Unicode" w:hAnsi="Times New Roman" w:cs="Times New Roman"/>
          <w:sz w:val="26"/>
          <w:szCs w:val="26"/>
          <w:lang w:eastAsia="ar-SA"/>
        </w:rPr>
        <w:t>статья 15 Закона о приватизации):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A50">
        <w:rPr>
          <w:rFonts w:ascii="Times New Roman" w:hAnsi="Times New Roman" w:cs="Times New Roman"/>
          <w:bCs/>
          <w:sz w:val="26"/>
          <w:szCs w:val="26"/>
        </w:rPr>
        <w:t xml:space="preserve">1.2.1) </w:t>
      </w:r>
      <w:proofErr w:type="spellStart"/>
      <w:r w:rsidRPr="00036A50">
        <w:rPr>
          <w:rFonts w:ascii="Times New Roman" w:hAnsi="Times New Roman" w:cs="Times New Roman"/>
          <w:bCs/>
          <w:sz w:val="26"/>
          <w:szCs w:val="26"/>
        </w:rPr>
        <w:t>неразмещение</w:t>
      </w:r>
      <w:proofErr w:type="spellEnd"/>
      <w:r w:rsidRPr="00036A50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торгов: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A50">
        <w:rPr>
          <w:rFonts w:ascii="Times New Roman" w:hAnsi="Times New Roman" w:cs="Times New Roman"/>
          <w:bCs/>
          <w:sz w:val="26"/>
          <w:szCs w:val="26"/>
        </w:rPr>
        <w:t>- порядка подачи заявок на участие в торгах;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A50">
        <w:rPr>
          <w:rFonts w:ascii="Times New Roman" w:hAnsi="Times New Roman" w:cs="Times New Roman"/>
          <w:bCs/>
          <w:sz w:val="26"/>
          <w:szCs w:val="26"/>
        </w:rPr>
        <w:t>- формы заявки на участие в аукционе;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A50">
        <w:rPr>
          <w:rFonts w:ascii="Times New Roman" w:hAnsi="Times New Roman" w:cs="Times New Roman"/>
          <w:bCs/>
          <w:sz w:val="26"/>
          <w:szCs w:val="26"/>
        </w:rPr>
        <w:t>- форма договора купли-продажи муниципального имущества.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Мероприятиями по устранению таких нарушений являются выдача предписания об аннулировании торгов.</w:t>
      </w:r>
    </w:p>
    <w:p w:rsidR="00036A50" w:rsidRPr="00036A50" w:rsidRDefault="00036A50" w:rsidP="0003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2. Проведенные в отношении подконтрольных лиц проверках и иных мероприятиях по контролю.</w:t>
      </w:r>
    </w:p>
    <w:p w:rsidR="00036A50" w:rsidRPr="00036A50" w:rsidRDefault="00036A50" w:rsidP="00036A5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36A50">
        <w:rPr>
          <w:rFonts w:ascii="Times New Roman" w:hAnsi="Times New Roman" w:cs="Times New Roman"/>
          <w:sz w:val="26"/>
          <w:szCs w:val="26"/>
          <w:u w:val="single"/>
        </w:rPr>
        <w:t>Предупреждения: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6A50">
        <w:rPr>
          <w:rFonts w:ascii="Times New Roman" w:hAnsi="Times New Roman" w:cs="Times New Roman"/>
          <w:sz w:val="26"/>
          <w:szCs w:val="26"/>
        </w:rPr>
        <w:t>Выдано  3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предупреждения о прекращении: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- Администрацией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муниципального района действий по наделению специализированной организации по вопросам похоронного дела функциями органа местного самоуправления по </w:t>
      </w:r>
      <w:r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ведению кладбищами, предоставлению выписки из архива захоронений, осуществлению отвода земельных участков для захоронения; по созданию необоснованных </w:t>
      </w:r>
      <w:proofErr w:type="spellStart"/>
      <w:r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препятствований</w:t>
      </w:r>
      <w:proofErr w:type="spellEnd"/>
      <w:r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осуществлению деятельности хозяйствующими субъектами, оказывающими ритуальные услуги, ввиду наделения специализированной организации функциями по организации перевозки тел </w:t>
      </w:r>
      <w:r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граждан, умерших (погибших) на территории поселения или городского округа, оказанию ритуальных услуг на территории района, обустройству и содержанию кладбищ </w:t>
      </w:r>
      <w:r w:rsidRPr="00036A50">
        <w:rPr>
          <w:rFonts w:ascii="Times New Roman" w:hAnsi="Times New Roman" w:cs="Times New Roman"/>
          <w:sz w:val="26"/>
          <w:szCs w:val="26"/>
        </w:rPr>
        <w:t>(№ 28-07/18 от 07.05.2018);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-  Администрацией города Челябинска действий по предоставлению возможности  МБУ «Городские парковки» осуществлять деятельность как оператора парковок, включенных в утвержденный перечень парковок (парковочных мест),  использовать парковки (парковочные места) как элемент обустройства  автомобильных дорог, в границах полосы отвода автомобильной дороги, расположенные на землях общего пользования без соблюдения требований действующего законодательства, что может привести к созданию преимущественных условий деятельности для отдельного хозяйствующего субъекта (№ 31-07/18 от 08.05.2018);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- Администрацией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Карабашского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городского округа бездействия, выразившегося </w:t>
      </w:r>
      <w:r w:rsidRPr="00036A50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036A50">
        <w:rPr>
          <w:rFonts w:ascii="Times New Roman" w:hAnsi="Times New Roman" w:cs="Times New Roman"/>
          <w:bCs/>
          <w:sz w:val="26"/>
          <w:szCs w:val="26"/>
        </w:rPr>
        <w:t>непроведении</w:t>
      </w:r>
      <w:proofErr w:type="spellEnd"/>
      <w:r w:rsidRPr="00036A50">
        <w:rPr>
          <w:rFonts w:ascii="Times New Roman" w:hAnsi="Times New Roman" w:cs="Times New Roman"/>
          <w:bCs/>
          <w:sz w:val="26"/>
          <w:szCs w:val="26"/>
        </w:rPr>
        <w:t xml:space="preserve"> конкурса на право заключения договора управления многоквартирным жилым домом, при условии, что доля собственности муниципального образования в праве общей собственности на общее имущество в многоквартирном доме составила более 50 % (№ 33-07/18 от 18.04.2018).</w:t>
      </w:r>
    </w:p>
    <w:p w:rsidR="00036A50" w:rsidRPr="00036A50" w:rsidRDefault="00036A50" w:rsidP="00036A5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36A50">
        <w:rPr>
          <w:rFonts w:ascii="Times New Roman" w:hAnsi="Times New Roman" w:cs="Times New Roman"/>
          <w:sz w:val="26"/>
          <w:szCs w:val="26"/>
          <w:u w:val="single"/>
        </w:rPr>
        <w:t>Жалобы:</w:t>
      </w:r>
    </w:p>
    <w:p w:rsidR="00036A50" w:rsidRPr="00036A50" w:rsidRDefault="00036A50" w:rsidP="00036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Рассмотрено 3 жалобы на действия организатора торгов при организации и проведении торгов по продаже права на заключение договора аренды земельного участка, к</w:t>
      </w:r>
      <w:r w:rsidRPr="00036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онкурса на право получения свидетельства об осуществлении перевозок по муниципальному маршруту, аукциона </w:t>
      </w:r>
      <w:r w:rsidRPr="00036A50">
        <w:rPr>
          <w:rFonts w:ascii="Times New Roman" w:hAnsi="Times New Roman" w:cs="Times New Roman"/>
          <w:bCs/>
          <w:sz w:val="26"/>
          <w:szCs w:val="26"/>
        </w:rPr>
        <w:t xml:space="preserve">по продаже муниципального имущества, </w:t>
      </w:r>
      <w:r w:rsidRPr="00036A50">
        <w:rPr>
          <w:rFonts w:ascii="Times New Roman" w:hAnsi="Times New Roman" w:cs="Times New Roman"/>
          <w:sz w:val="26"/>
          <w:szCs w:val="26"/>
        </w:rPr>
        <w:t>по результатам рассмотрения которых 2 жалобы признаны необоснованными, 1 – обоснованной, выдано 2 предписания об аннулировании торгов (№ 5-07-18.1/</w:t>
      </w:r>
      <w:proofErr w:type="gramStart"/>
      <w:r w:rsidRPr="00036A50">
        <w:rPr>
          <w:rFonts w:ascii="Times New Roman" w:hAnsi="Times New Roman" w:cs="Times New Roman"/>
          <w:sz w:val="26"/>
          <w:szCs w:val="26"/>
        </w:rPr>
        <w:t xml:space="preserve">18,   </w:t>
      </w:r>
      <w:proofErr w:type="gramEnd"/>
      <w:r w:rsidRPr="00036A50">
        <w:rPr>
          <w:rFonts w:ascii="Times New Roman" w:hAnsi="Times New Roman" w:cs="Times New Roman"/>
          <w:sz w:val="26"/>
          <w:szCs w:val="26"/>
        </w:rPr>
        <w:t xml:space="preserve">             № 6-07-18.1/18, 7-07-18.1/18).</w:t>
      </w:r>
    </w:p>
    <w:p w:rsidR="00036A50" w:rsidRPr="00036A50" w:rsidRDefault="00036A50" w:rsidP="00036A5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36A50">
        <w:rPr>
          <w:rFonts w:ascii="Times New Roman" w:hAnsi="Times New Roman" w:cs="Times New Roman"/>
          <w:sz w:val="26"/>
          <w:szCs w:val="26"/>
          <w:u w:val="single"/>
        </w:rPr>
        <w:t xml:space="preserve">Дела: </w:t>
      </w:r>
    </w:p>
    <w:p w:rsidR="00036A50" w:rsidRPr="00036A50" w:rsidRDefault="00036A50" w:rsidP="00036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Возбуждено 2 дела о нарушении антимонопольного законодательства:</w:t>
      </w:r>
    </w:p>
    <w:p w:rsidR="00036A50" w:rsidRPr="00036A50" w:rsidRDefault="00036A50" w:rsidP="0003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A50">
        <w:rPr>
          <w:rFonts w:ascii="Times New Roman" w:hAnsi="Times New Roman" w:cs="Times New Roman"/>
          <w:sz w:val="26"/>
          <w:szCs w:val="26"/>
        </w:rPr>
        <w:t>1) № 6-07/18 в отношении Управления культуры Администрации города Челябинска по признакам нарушения ч</w:t>
      </w:r>
      <w:r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астей 1, 3 статьи 15 Закона о защите конкуренции</w:t>
      </w:r>
      <w:r w:rsidRPr="00036A50">
        <w:rPr>
          <w:rFonts w:ascii="Times New Roman" w:eastAsia="SimSun" w:hAnsi="Times New Roman" w:cs="Times New Roman"/>
          <w:sz w:val="26"/>
          <w:szCs w:val="26"/>
          <w:lang w:eastAsia="hi-IN" w:bidi="hi-IN"/>
        </w:rPr>
        <w:t>, выразившимся во:</w:t>
      </w:r>
    </w:p>
    <w:p w:rsidR="00036A50" w:rsidRPr="00036A50" w:rsidRDefault="00036A50" w:rsidP="00036A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36A5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- </w:t>
      </w:r>
      <w:r w:rsidRPr="00036A50">
        <w:rPr>
          <w:rFonts w:ascii="Times New Roman" w:eastAsia="Times New Roman" w:hAnsi="Times New Roman" w:cs="Times New Roman"/>
          <w:kern w:val="2"/>
          <w:sz w:val="26"/>
          <w:szCs w:val="26"/>
          <w:lang w:eastAsia="ar-SA" w:bidi="hi-IN"/>
        </w:rPr>
        <w:t xml:space="preserve">включении в Устав </w:t>
      </w:r>
      <w:r w:rsidRPr="00036A50">
        <w:rPr>
          <w:rFonts w:ascii="Times New Roman" w:eastAsia="Times New Roman" w:hAnsi="Times New Roman" w:cs="Times New Roman"/>
          <w:kern w:val="2"/>
          <w:sz w:val="26"/>
          <w:szCs w:val="26"/>
          <w:lang w:eastAsia="ru-RU" w:bidi="hi-IN"/>
        </w:rPr>
        <w:t xml:space="preserve">МАУ «Городской сад им. А.С. Пушкина» </w:t>
      </w:r>
      <w:r w:rsidRPr="00036A50">
        <w:rPr>
          <w:rFonts w:ascii="Times New Roman" w:eastAsia="Times New Roman" w:hAnsi="Times New Roman" w:cs="Times New Roman"/>
          <w:kern w:val="2"/>
          <w:sz w:val="26"/>
          <w:szCs w:val="26"/>
          <w:lang w:eastAsia="ar-SA" w:bidi="hi-IN"/>
        </w:rPr>
        <w:t xml:space="preserve">видов деятельности, не относящихся к сфере культуры, </w:t>
      </w:r>
      <w:r w:rsidRPr="00036A5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 том числе такие виды деятельности, как уборка территории, организация автопарковок (автостоянок), услуги общественного туалета, информационно-рекламная деятельность, организация общественного питания, реализация сувениров и иной продукции декоративно-эстетической направленности, хранение и складирование;</w:t>
      </w:r>
    </w:p>
    <w:p w:rsidR="00036A50" w:rsidRPr="00036A50" w:rsidRDefault="00036A50" w:rsidP="00036A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A5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- </w:t>
      </w:r>
      <w:r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финансированию </w:t>
      </w:r>
      <w:r w:rsidRPr="00036A50">
        <w:rPr>
          <w:rFonts w:ascii="Times New Roman" w:eastAsia="SimSun" w:hAnsi="Times New Roman" w:cs="Times New Roman"/>
          <w:sz w:val="26"/>
          <w:szCs w:val="26"/>
          <w:lang w:eastAsia="ru-RU" w:bidi="hi-IN"/>
        </w:rPr>
        <w:t xml:space="preserve">МАУ «Городской сад им. А.С. Пушкина» </w:t>
      </w:r>
      <w:r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бюджетных средств выполнения функций </w:t>
      </w:r>
      <w:r w:rsidRPr="00036A50">
        <w:rPr>
          <w:rFonts w:ascii="Times New Roman" w:eastAsia="SimSun" w:hAnsi="Times New Roman" w:cs="Times New Roman"/>
          <w:sz w:val="26"/>
          <w:szCs w:val="26"/>
          <w:lang w:eastAsia="ru-RU" w:bidi="hi-IN"/>
        </w:rPr>
        <w:t xml:space="preserve">организации и проведения общегородских праздников, в том числе День Победы, День Города, Новогодняя ночь, новогодние утренники, обустройства мест массового отдыха населения, в том числе </w:t>
      </w:r>
      <w:r w:rsidRPr="00036A50">
        <w:rPr>
          <w:rFonts w:ascii="Times New Roman" w:eastAsia="Calibri" w:hAnsi="Times New Roman" w:cs="Times New Roman"/>
          <w:sz w:val="26"/>
          <w:szCs w:val="26"/>
        </w:rPr>
        <w:t>Ледового городка</w:t>
      </w:r>
      <w:r w:rsidRPr="00036A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предусматривающих закупку товара, работ и услуг для обеспечения муниципальных нужд;</w:t>
      </w:r>
    </w:p>
    <w:p w:rsidR="00036A50" w:rsidRPr="00036A50" w:rsidRDefault="00036A50" w:rsidP="00036A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A50">
        <w:rPr>
          <w:rFonts w:ascii="Times New Roman" w:eastAsia="SimSun" w:hAnsi="Times New Roman" w:cs="Times New Roman"/>
          <w:kern w:val="2"/>
          <w:sz w:val="26"/>
          <w:szCs w:val="26"/>
          <w:lang w:eastAsia="ru-RU" w:bidi="hi-IN"/>
        </w:rPr>
        <w:t>-</w:t>
      </w:r>
      <w:r w:rsidRPr="00036A50">
        <w:rPr>
          <w:rFonts w:ascii="Times New Roman" w:eastAsia="Calibri" w:hAnsi="Times New Roman" w:cs="Times New Roman"/>
          <w:kern w:val="2"/>
          <w:sz w:val="26"/>
          <w:szCs w:val="26"/>
        </w:rPr>
        <w:t xml:space="preserve"> утверждению МАУ «Городской сад им. А.С. Пушкина» муниципальных заданий на 2016 - 2018 годы, которыми предусмотрено </w:t>
      </w:r>
      <w:r w:rsidRPr="00036A50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выполнение работ для муниципальных нужд по обустройству мест массового отдыха населения – возведение и организация Ледового городка на площади Революции города Челябинска, а также организации общегородских праздников (в том числе День Победы, День Города, празднования Нового города (Новогодняя ночь), массовые катания на площади Революции города Челябинска),</w:t>
      </w:r>
      <w:r w:rsidRPr="00036A5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036A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осуществляемых не на </w:t>
      </w:r>
      <w:r w:rsidRPr="00036A5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предоставленных Учреждению территориях и за счет бюджетных средств; </w:t>
      </w:r>
    </w:p>
    <w:p w:rsidR="00036A50" w:rsidRPr="00036A50" w:rsidRDefault="00036A50" w:rsidP="00036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2) № 7-07/18 в отношении Администрации </w:t>
      </w:r>
      <w:proofErr w:type="spellStart"/>
      <w:r w:rsidRPr="00036A5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036A50">
        <w:rPr>
          <w:rFonts w:ascii="Times New Roman" w:hAnsi="Times New Roman" w:cs="Times New Roman"/>
          <w:sz w:val="26"/>
          <w:szCs w:val="26"/>
        </w:rPr>
        <w:t xml:space="preserve"> городского округа по признакам нарушения </w:t>
      </w:r>
      <w:r w:rsidRPr="00036A50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части 1 статьи 15 Закона о защите конкуренции </w:t>
      </w:r>
      <w:proofErr w:type="gramStart"/>
      <w:r w:rsidRPr="00036A50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ввиду </w:t>
      </w:r>
      <w:r w:rsidRPr="00036A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36A50">
        <w:rPr>
          <w:rFonts w:ascii="Times New Roman" w:eastAsia="Calibri" w:hAnsi="Times New Roman" w:cs="Times New Roman"/>
          <w:sz w:val="26"/>
          <w:szCs w:val="26"/>
        </w:rPr>
        <w:t>непроведения</w:t>
      </w:r>
      <w:proofErr w:type="spellEnd"/>
      <w:proofErr w:type="gramEnd"/>
      <w:r w:rsidRPr="00036A50">
        <w:rPr>
          <w:rFonts w:ascii="Times New Roman" w:eastAsia="Calibri" w:hAnsi="Times New Roman" w:cs="Times New Roman"/>
          <w:sz w:val="26"/>
          <w:szCs w:val="26"/>
        </w:rPr>
        <w:t xml:space="preserve"> в установленные сроки конкурса по отбору управляющей организации для управления многоквартирным домом.</w:t>
      </w:r>
    </w:p>
    <w:p w:rsidR="00036A50" w:rsidRPr="00036A50" w:rsidRDefault="00036A50" w:rsidP="00036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6A50" w:rsidRPr="00036A50" w:rsidRDefault="00036A50" w:rsidP="0003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A50">
        <w:rPr>
          <w:rFonts w:ascii="Times New Roman" w:eastAsia="Calibri" w:hAnsi="Times New Roman" w:cs="Times New Roman"/>
          <w:sz w:val="26"/>
          <w:szCs w:val="26"/>
        </w:rPr>
        <w:t>Вынесены решения по 6 делам о нарушении антимонопольного законодательства:</w:t>
      </w:r>
    </w:p>
    <w:p w:rsidR="00036A50" w:rsidRPr="00036A50" w:rsidRDefault="00036A50" w:rsidP="00036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6A50" w:rsidRPr="00036A50" w:rsidRDefault="00036A50" w:rsidP="00036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A50">
        <w:rPr>
          <w:rFonts w:ascii="Times New Roman" w:eastAsia="Calibri" w:hAnsi="Times New Roman" w:cs="Times New Roman"/>
          <w:sz w:val="26"/>
          <w:szCs w:val="26"/>
        </w:rPr>
        <w:t>1) № 05-07/16 о признании нарушением части 1 статьи 15 Закона о защите конкуренции, в том числе пунктов 2, 8 указанной нормы, действий Администрации Магнитогорского городского округа по принятию решения о принятии мер по недопущению осуществления финансовых услуг (</w:t>
      </w:r>
      <w:proofErr w:type="spellStart"/>
      <w:r w:rsidRPr="00036A50">
        <w:rPr>
          <w:rFonts w:ascii="Times New Roman" w:eastAsia="Calibri" w:hAnsi="Times New Roman" w:cs="Times New Roman"/>
          <w:sz w:val="26"/>
          <w:szCs w:val="26"/>
        </w:rPr>
        <w:t>микрозаймов</w:t>
      </w:r>
      <w:proofErr w:type="spellEnd"/>
      <w:r w:rsidRPr="00036A50">
        <w:rPr>
          <w:rFonts w:ascii="Times New Roman" w:eastAsia="Calibri" w:hAnsi="Times New Roman" w:cs="Times New Roman"/>
          <w:sz w:val="26"/>
          <w:szCs w:val="26"/>
        </w:rPr>
        <w:t xml:space="preserve"> для населения) в киосках и павильонах, расположенных на территории города Магнитогорска, и размещении в СМИ и на официальном сайте администрации информации о незаконности такой деятельности в нестационарных объектах, направлению арендаторам писем о необходимости прекращения осуществления указанной деятельности и соответствующих претензий, которые привели или могли привести к созданию дискриминационных условий. Администрации выдано предписание об отмене указанного решения, отзыва писем и претензий в срок до 14.05.2018;</w:t>
      </w:r>
    </w:p>
    <w:p w:rsidR="00036A50" w:rsidRPr="00036A50" w:rsidRDefault="00036A50" w:rsidP="00036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6A50">
        <w:rPr>
          <w:rFonts w:ascii="Times New Roman" w:eastAsia="Calibri" w:hAnsi="Times New Roman" w:cs="Times New Roman"/>
          <w:sz w:val="26"/>
          <w:szCs w:val="26"/>
        </w:rPr>
        <w:t>2) № 20-07/16 о признании нарушением части 1 статьи 15 Закона о защите конкуренции, в том числе пунктов 2 и  8 указанной нормы, действий Правительства Челябинской области, как органа, утвердившего состав Комиссии по разработке территориальной программы обязательного медицинского страхования в Челябинской области, а также указанной комиссии, выразившихся в отказе в распределении объемов медицинской помощи на 2016 год ООО МЦ «Лотос» по основаниям, не предусмотренным действующим законодательством, чем созданы необоснованные препятствия в осуществлении деятельности общества и дискриминационные условия. Предписание не выдано ввиду невозможности принятия в 2018 году реш</w:t>
      </w:r>
      <w:r w:rsidRPr="00036A50">
        <w:rPr>
          <w:rFonts w:ascii="Times New Roman" w:hAnsi="Times New Roman" w:cs="Times New Roman"/>
          <w:sz w:val="26"/>
          <w:szCs w:val="26"/>
          <w:lang w:eastAsia="ru-RU"/>
        </w:rPr>
        <w:t>ения о распределении объемов медицинской помощи на 2016 год для общества;</w:t>
      </w:r>
    </w:p>
    <w:p w:rsidR="00036A50" w:rsidRPr="00036A50" w:rsidRDefault="00036A50" w:rsidP="00036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  <w:lang w:eastAsia="ru-RU"/>
        </w:rPr>
        <w:t xml:space="preserve">3) № </w:t>
      </w:r>
      <w:r w:rsidRPr="00036A50">
        <w:rPr>
          <w:rFonts w:ascii="Times New Roman" w:eastAsia="Calibri" w:hAnsi="Times New Roman" w:cs="Times New Roman"/>
          <w:sz w:val="26"/>
          <w:szCs w:val="26"/>
        </w:rPr>
        <w:t>15-07/17 о нарушении части 1 статьи 15 Закона о защите конкуренции, выразившемся в бездействии Администрации</w:t>
      </w:r>
      <w:r w:rsidRPr="00036A50">
        <w:rPr>
          <w:rFonts w:ascii="Times New Roman" w:hAnsi="Times New Roman" w:cs="Times New Roman"/>
          <w:sz w:val="26"/>
          <w:szCs w:val="26"/>
        </w:rPr>
        <w:t xml:space="preserve"> </w:t>
      </w:r>
      <w:r w:rsidRPr="00036A50">
        <w:rPr>
          <w:rFonts w:ascii="Times New Roman" w:eastAsia="Calibri" w:hAnsi="Times New Roman" w:cs="Times New Roman"/>
          <w:sz w:val="26"/>
          <w:szCs w:val="26"/>
        </w:rPr>
        <w:t xml:space="preserve">Кыштымского городского округа по проведению торгов на право заключения муниципальных контрактов на право выполнения работ, связанных с осуществлением регулярных перевозок по регулируемым тарифам до 29.11.2017, а также действиях Управления городского хозяйства администрации Кыштымского городского округа по выдаче свидетельств об осуществлении перевозок по муниципальным маршрутам регулярных перевозок №№ 1, 2, 3, 4, 5, 6, 7, 8, 11, 12, 14-а, 16, 17, 19, 21, 22, 300, 301, 302, 303 и карт маршрутов без проведения торгов, продлению срока действия указанных свидетельств об осуществлении перевозок и карт маршрутов, а также бездействии с 30.11.2017 по </w:t>
      </w:r>
      <w:proofErr w:type="spellStart"/>
      <w:r w:rsidRPr="00036A50">
        <w:rPr>
          <w:rFonts w:ascii="Times New Roman" w:eastAsia="Calibri" w:hAnsi="Times New Roman" w:cs="Times New Roman"/>
          <w:sz w:val="26"/>
          <w:szCs w:val="26"/>
        </w:rPr>
        <w:t>непроведению</w:t>
      </w:r>
      <w:proofErr w:type="spellEnd"/>
      <w:r w:rsidRPr="00036A50">
        <w:rPr>
          <w:rFonts w:ascii="Times New Roman" w:eastAsia="Calibri" w:hAnsi="Times New Roman" w:cs="Times New Roman"/>
          <w:sz w:val="26"/>
          <w:szCs w:val="26"/>
        </w:rPr>
        <w:t xml:space="preserve"> торгов на право заключения муниципальных контрактов на право выполнения работ, связанных с осуществлением регулярных перевозок по регулируемым тарифам. Управлению выдано предписание об о</w:t>
      </w:r>
      <w:r w:rsidRPr="00036A50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беспечении до 20.07.2018 заключения </w:t>
      </w:r>
      <w:r w:rsidRPr="00036A50"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муниципальных контрактов по маршрутам регулярных перевозок по регулируемым тарифам №№ </w:t>
      </w:r>
      <w:r w:rsidRPr="00036A50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1, 2/1, 2/2, 3, 4/1, 4/2, 5/1, 5/2, 5/3, 5/4, 6, 7, 8/1, 8/2, 8/3, 11, 12, 14-а, 15/1, 15/2, 16, 17, 19, 20, 21/1, 21/2, 21/3, 21/4, 21/5, 22, 300, 301, 302, 303</w:t>
      </w: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;</w:t>
      </w:r>
    </w:p>
    <w:p w:rsidR="00036A50" w:rsidRPr="00036A50" w:rsidRDefault="00036A50" w:rsidP="00036A50">
      <w:pPr>
        <w:ind w:right="-284"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lastRenderedPageBreak/>
        <w:t xml:space="preserve">4) № 19-07/17 о признании нарушением </w:t>
      </w:r>
      <w:r w:rsidRPr="00036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асти 1 статьи 15 Закона о защите конкуренции действий </w:t>
      </w:r>
      <w:r w:rsidRPr="00036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 по управлению имуществом и земельным отношениям города Челябинска</w:t>
      </w: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по утверждению МБУ «Служба демонтажа и землеустройства» муниципальных заданий на 2016 - 2017 годы, что привело или могло привести к устранению конкуренции при размещении муниципального заказа на выполнение работ в сфере благоустройства и озеленения (разборка, перемещение, хранение незаконно установленных нестационарных объектов).</w:t>
      </w:r>
      <w:r w:rsidRPr="00036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Поскольку принято решение о создании МКУ «Служба демонтажа и землеустройства» путем изменения </w:t>
      </w:r>
      <w:proofErr w:type="gramStart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типа</w:t>
      </w:r>
      <w:proofErr w:type="gramEnd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существующего МБУ, предписание не выдано;</w:t>
      </w:r>
    </w:p>
    <w:p w:rsidR="00036A50" w:rsidRPr="00036A50" w:rsidRDefault="00036A50" w:rsidP="00036A50">
      <w:pPr>
        <w:ind w:right="-284"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5) № 20-07/17 о признании нарушением части 1 статьи 15 Закона о защите конкуренции, в том числе пункта 8 указанной нормы, бездействия Администрации города Челябинска, выразившееся в </w:t>
      </w:r>
      <w:proofErr w:type="spellStart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неутверждении</w:t>
      </w:r>
      <w:proofErr w:type="spellEnd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административного регламента предоставления муниципальной услуги по выдаче сведений информационной системы обеспечения градостроительной деятельности на территории города Челябинска, что может привести к созданию дискриминационных условий осуществления деятельности для хозяйствующих субъектов при предоставлении муниципальной услуги в целях осуществления градостроительной, инвестиционной и иной хозяйственной деятельности, проведения землеустройства. </w:t>
      </w:r>
      <w:proofErr w:type="gramStart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Администрации  выдано</w:t>
      </w:r>
      <w:proofErr w:type="gramEnd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предписание о прекращении нарушения антимонопольного законодательства путем утверждения в срок до 22.06.2018 указанного административного регламента;</w:t>
      </w:r>
    </w:p>
    <w:p w:rsidR="00036A50" w:rsidRPr="00036A50" w:rsidRDefault="00036A50" w:rsidP="00036A50">
      <w:pPr>
        <w:ind w:right="-284"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6) </w:t>
      </w:r>
      <w:r w:rsidRPr="00036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01-07/18 о признании </w:t>
      </w:r>
      <w:r w:rsidRPr="00036A5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нарушением части 3 статьи 17.1 </w:t>
      </w:r>
      <w:r w:rsidRPr="00036A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Закона о защите конкуренции </w:t>
      </w:r>
      <w:r w:rsidRPr="00036A50">
        <w:rPr>
          <w:rFonts w:ascii="Times New Roman" w:hAnsi="Times New Roman" w:cs="Times New Roman"/>
          <w:sz w:val="26"/>
          <w:szCs w:val="26"/>
        </w:rPr>
        <w:t xml:space="preserve">действий </w:t>
      </w:r>
      <w:r w:rsidRPr="00036A50">
        <w:rPr>
          <w:rFonts w:ascii="Times New Roman" w:eastAsia="Times New Roman" w:hAnsi="Times New Roman" w:cs="Times New Roman"/>
          <w:sz w:val="26"/>
          <w:szCs w:val="26"/>
        </w:rPr>
        <w:t>ЧОБУ «Красноармейское лесничество»</w:t>
      </w:r>
      <w:r w:rsidRPr="00036A50">
        <w:rPr>
          <w:rFonts w:ascii="Times New Roman" w:hAnsi="Times New Roman" w:cs="Times New Roman"/>
          <w:kern w:val="3"/>
          <w:sz w:val="26"/>
          <w:szCs w:val="26"/>
          <w:lang w:eastAsia="ru-RU"/>
        </w:rPr>
        <w:t xml:space="preserve"> по </w:t>
      </w:r>
      <w:r w:rsidRPr="00036A50">
        <w:rPr>
          <w:rStyle w:val="Internetlink"/>
          <w:rFonts w:ascii="Times New Roman" w:eastAsia="Times New Roman" w:hAnsi="Times New Roman" w:cs="Times New Roman"/>
          <w:sz w:val="26"/>
          <w:szCs w:val="26"/>
        </w:rPr>
        <w:t xml:space="preserve">заключению без согласия правообладателя договоров хранения государственного </w:t>
      </w:r>
      <w:r w:rsidRPr="00036A50">
        <w:rPr>
          <w:rFonts w:ascii="Times New Roman" w:hAnsi="Times New Roman" w:cs="Times New Roman"/>
          <w:sz w:val="26"/>
          <w:szCs w:val="26"/>
        </w:rPr>
        <w:t xml:space="preserve">имущества </w:t>
      </w:r>
      <w:proofErr w:type="gramStart"/>
      <w:r w:rsidRPr="00036A50">
        <w:rPr>
          <w:rStyle w:val="Internetlink"/>
          <w:rFonts w:ascii="Times New Roman" w:eastAsia="Times New Roman" w:hAnsi="Times New Roman" w:cs="Times New Roman"/>
          <w:sz w:val="26"/>
          <w:szCs w:val="26"/>
        </w:rPr>
        <w:t>с индивидуальным предпринимателя</w:t>
      </w:r>
      <w:proofErr w:type="gramEnd"/>
      <w:r w:rsidRPr="00036A50">
        <w:rPr>
          <w:rStyle w:val="Internetlink"/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36A50">
        <w:rPr>
          <w:rStyle w:val="Internetlink"/>
          <w:rFonts w:ascii="Times New Roman" w:eastAsia="Times New Roman" w:hAnsi="Times New Roman" w:cs="Times New Roman"/>
          <w:sz w:val="26"/>
          <w:szCs w:val="26"/>
        </w:rPr>
        <w:t>без проведения торгов. Предписание не выдано, поскольку договор расторгнут, имущество возвращено.</w:t>
      </w:r>
    </w:p>
    <w:p w:rsidR="00036A50" w:rsidRPr="00036A50" w:rsidRDefault="00036A50" w:rsidP="00036A50">
      <w:pPr>
        <w:ind w:right="-284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3. Результаты административного и судебного оспаривания решений, действий (бездействия) органа государственного контроля (надзора) и его должностных лиц.</w:t>
      </w:r>
    </w:p>
    <w:p w:rsidR="00036A50" w:rsidRPr="00036A50" w:rsidRDefault="00036A50" w:rsidP="00036A50">
      <w:pPr>
        <w:ind w:right="-284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3.1) Постановлением арбитражного апелляционного суда от 11.05.2018 по делу                          № А76-29925/17</w:t>
      </w:r>
      <w:r w:rsidRPr="00036A50">
        <w:rPr>
          <w:rFonts w:ascii="Times New Roman" w:hAnsi="Times New Roman" w:cs="Times New Roman"/>
          <w:sz w:val="26"/>
          <w:szCs w:val="26"/>
        </w:rPr>
        <w:t xml:space="preserve"> оставлено </w:t>
      </w: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без изменения решение Арбитражного суда Челябинской области от 15.02.2018 по тому же делу, которым отказано в удовлетворении заявленных Министерством здравоохранения Челябинской области требований о признании недействительным решения и предписания Челябинского УФАС России от 12.07.2017 по делу №103-07/15 о нарушении антимонопольного законодательства.</w:t>
      </w:r>
    </w:p>
    <w:p w:rsidR="00036A50" w:rsidRPr="00036A50" w:rsidRDefault="00036A50" w:rsidP="00036A50">
      <w:pPr>
        <w:ind w:right="-284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3.2) Постановлением арбитражного апелляционного суда от 24.04.2018 по делу                          № </w:t>
      </w:r>
      <w:r w:rsidRPr="00036A50">
        <w:rPr>
          <w:rFonts w:ascii="Times New Roman" w:hAnsi="Times New Roman" w:cs="Times New Roman"/>
          <w:sz w:val="26"/>
          <w:szCs w:val="26"/>
        </w:rPr>
        <w:t>А76-29202/2017</w:t>
      </w: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оставлено без изменения решение Арбитражного суда Челябинской области от 20.02.2018 по тому же делу, которым отказано в удовлетворении заявленных Администрацией </w:t>
      </w:r>
      <w:proofErr w:type="spellStart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Миасского</w:t>
      </w:r>
      <w:proofErr w:type="spellEnd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городского </w:t>
      </w:r>
      <w:proofErr w:type="gramStart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округа  требований</w:t>
      </w:r>
      <w:proofErr w:type="gramEnd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о признании незаконным решения и предписания Челябинского УФАС России от 31.08.2017 по жалобе №59-07-18.1/17.</w:t>
      </w:r>
    </w:p>
    <w:p w:rsidR="00036A50" w:rsidRPr="00036A50" w:rsidRDefault="00036A50" w:rsidP="00036A50">
      <w:pPr>
        <w:ind w:right="-284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3.3</w:t>
      </w:r>
      <w:proofErr w:type="gramStart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)  Решением</w:t>
      </w:r>
      <w:proofErr w:type="gramEnd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Арбитражного суда Челябинской области от 11.04.2018 по делу                   № А76-30161/17 отказано в удовлетворении заявленных Администрацией </w:t>
      </w:r>
      <w:proofErr w:type="spellStart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Миасского</w:t>
      </w:r>
      <w:proofErr w:type="spellEnd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lastRenderedPageBreak/>
        <w:t>городского округа требований о признании незаконными решения Челябинского УФАС России от 14.03.2017 по жалобе № 18-07-18.1/17.</w:t>
      </w:r>
    </w:p>
    <w:p w:rsidR="00036A50" w:rsidRPr="00036A50" w:rsidRDefault="00036A50" w:rsidP="00036A50">
      <w:pPr>
        <w:ind w:right="-284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3.4) Решением Арбитражного суда Челябинской области от 26.04.2018 по делу                        № А76-</w:t>
      </w:r>
      <w:r w:rsidRPr="00036A50">
        <w:rPr>
          <w:rFonts w:ascii="Times New Roman" w:hAnsi="Times New Roman" w:cs="Times New Roman"/>
          <w:sz w:val="26"/>
          <w:szCs w:val="26"/>
        </w:rPr>
        <w:t>34608/2017</w:t>
      </w: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отказано в удовлетворении заявленных Администрацией </w:t>
      </w:r>
      <w:proofErr w:type="spellStart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Миньярского</w:t>
      </w:r>
      <w:proofErr w:type="spellEnd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городского поселения Ашинского муниципального района Челябинской области, Комитетом по управлению муниципальным имуществом и земельным отношениям </w:t>
      </w:r>
      <w:proofErr w:type="spellStart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Миньярского</w:t>
      </w:r>
      <w:proofErr w:type="spellEnd"/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городского поселения требований о признании незаконными решения Челябинского УФАС России от 11.08.2017 по делу № 22-07/16 о нарушении антимонопольного законодательства.</w:t>
      </w:r>
    </w:p>
    <w:p w:rsidR="00036A50" w:rsidRPr="00036A50" w:rsidRDefault="00036A50" w:rsidP="00036A50">
      <w:p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3.5) Постановлением Восемнадцатого арбитражного апелляционного суда от 25.04.2018 по делу № А76-</w:t>
      </w:r>
      <w:r w:rsidRPr="00036A50">
        <w:rPr>
          <w:rFonts w:ascii="Times New Roman" w:hAnsi="Times New Roman" w:cs="Times New Roman"/>
          <w:sz w:val="26"/>
          <w:szCs w:val="26"/>
        </w:rPr>
        <w:t xml:space="preserve">33908/2017 оставлено без изменения решение Арбитражного суда Челябинской области от 20.02.2018 по тому же делу, которым отказано в удовлетворении заявленных ООО «Жилищная управляющая компания» требований об отмене постановления о наложении штрафа по делу № 05-14.32ч.1/17 о привлечении к административной ответственности по части 1 статьи 14.32 КоАП РФ. </w:t>
      </w:r>
    </w:p>
    <w:p w:rsidR="00036A50" w:rsidRPr="00036A50" w:rsidRDefault="00036A50" w:rsidP="00036A50">
      <w:pPr>
        <w:ind w:right="-284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kern w:val="3"/>
          <w:sz w:val="26"/>
          <w:szCs w:val="26"/>
        </w:rPr>
        <w:t>3.6) Решениями судов общей юрисдикции оставлены без изменения постановления о наложении штрафов в отношении 2 должностных лиц.</w:t>
      </w:r>
    </w:p>
    <w:p w:rsidR="00036A50" w:rsidRPr="00036A50" w:rsidRDefault="00036A50" w:rsidP="00036A50">
      <w:pPr>
        <w:ind w:right="-284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036A50" w:rsidRPr="00036A50" w:rsidRDefault="00036A50" w:rsidP="00036A50">
      <w:pPr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Контроль государственных и муниципальных закупок</w:t>
      </w:r>
    </w:p>
    <w:p w:rsidR="00036A50" w:rsidRPr="00036A50" w:rsidRDefault="00036A50" w:rsidP="00036A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В 2018 году наблюдается увеличение дел об административных правонарушениях, связанных с нарушением должностными лицами заказчиков:</w:t>
      </w:r>
    </w:p>
    <w:p w:rsidR="00036A50" w:rsidRPr="00036A50" w:rsidRDefault="00036A50" w:rsidP="00036A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1) требований к размещению в Единой информационной системе в сфере закупок информации об исполнении и расторжении контрактов, отчетов об исполнении контрактов и (или) отдельных этапов исполнения контрактов (не размещаются результаты экспертизы поставленного товара, выполненной работы, оказанной услуги, документы о приёмке, нарушаются сроки размещения такой информации) (части 1.4 и 3 статьи 7.30, часть 2 статьи 7.31 Кодекса Российской Федерации об административных правонарушениях);</w:t>
      </w:r>
    </w:p>
    <w:p w:rsidR="00036A50" w:rsidRPr="00036A50" w:rsidRDefault="00036A50" w:rsidP="00036A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2) порядка и сроков оплаты поставленного товара, выполненной работы, оказанной услуги (часть 1 статьи 7.32.5 Кодекса Российской Федерации об административных правонарушениях);</w:t>
      </w:r>
    </w:p>
    <w:p w:rsidR="00036A50" w:rsidRPr="00036A50" w:rsidRDefault="00036A50" w:rsidP="00036A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>3) требований к выбору способа определения поставщиков (подрядчиков, исполнителей), в частности осуществляется «дробление» закупок путём заключения договоров по пункту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целью исключения проведения закупок конкурентными способами (части 1 и 2 статьи 7.29 Кодекса Российской Федерации об административных правонарушениях).</w:t>
      </w:r>
    </w:p>
    <w:p w:rsidR="00036A50" w:rsidRPr="00036A50" w:rsidRDefault="00036A50" w:rsidP="00036A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A50">
        <w:rPr>
          <w:rFonts w:ascii="Times New Roman" w:hAnsi="Times New Roman" w:cs="Times New Roman"/>
          <w:sz w:val="26"/>
          <w:szCs w:val="26"/>
        </w:rPr>
        <w:t xml:space="preserve">Следует отметить, что количество дел об административных правонарушениях, возбуждаемых по части 4.2 статьи 7.30 Кодекса Российской Федерации об административных правонарушениях, связанных с утверждением документаций об аукционах, конкурсных документаций с нарушением требований законодательства о контрактной системе, остаётся неизменным. </w:t>
      </w:r>
    </w:p>
    <w:p w:rsidR="00036A50" w:rsidRPr="00036A50" w:rsidRDefault="00036A50" w:rsidP="00036A50">
      <w:pPr>
        <w:ind w:right="-284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036A50" w:rsidRPr="00036A50" w:rsidRDefault="00036A50" w:rsidP="00036A50">
      <w:pPr>
        <w:ind w:right="-284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tbl>
      <w:tblPr>
        <w:tblpPr w:leftFromText="180" w:rightFromText="180" w:vertAnchor="text" w:horzAnchor="margin" w:tblpXSpec="center" w:tblpY="1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528"/>
        <w:gridCol w:w="1559"/>
        <w:gridCol w:w="1559"/>
        <w:gridCol w:w="1418"/>
      </w:tblGrid>
      <w:tr w:rsidR="00036A50" w:rsidRPr="00036A50" w:rsidTr="000D40F7">
        <w:tc>
          <w:tcPr>
            <w:tcW w:w="392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контрольного органа (сравнение по годам)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</w:rPr>
              <w:t xml:space="preserve"> 2016г 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</w:rPr>
              <w:t>2017г</w:t>
            </w:r>
          </w:p>
        </w:tc>
        <w:tc>
          <w:tcPr>
            <w:tcW w:w="1418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2018 </w:t>
            </w:r>
            <w:r w:rsidRPr="00036A50">
              <w:rPr>
                <w:rFonts w:ascii="Times New Roman" w:hAnsi="Times New Roman" w:cs="Times New Roman"/>
                <w:sz w:val="26"/>
                <w:szCs w:val="26"/>
              </w:rPr>
              <w:t>г (по состоянию на 16.05.2018)</w:t>
            </w:r>
          </w:p>
        </w:tc>
      </w:tr>
      <w:tr w:rsidR="00036A50" w:rsidRPr="00036A50" w:rsidTr="000D40F7">
        <w:tc>
          <w:tcPr>
            <w:tcW w:w="392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528" w:type="dxa"/>
          </w:tcPr>
          <w:p w:rsidR="00036A50" w:rsidRPr="00036A50" w:rsidRDefault="00036A50" w:rsidP="000D4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A50">
              <w:rPr>
                <w:rFonts w:ascii="Times New Roman" w:hAnsi="Times New Roman" w:cs="Times New Roman"/>
                <w:sz w:val="26"/>
                <w:szCs w:val="26"/>
              </w:rPr>
              <w:t>Количество  решений</w:t>
            </w:r>
            <w:proofErr w:type="gramEnd"/>
            <w:r w:rsidRPr="00036A50">
              <w:rPr>
                <w:rFonts w:ascii="Times New Roman" w:hAnsi="Times New Roman" w:cs="Times New Roman"/>
                <w:sz w:val="26"/>
                <w:szCs w:val="26"/>
              </w:rPr>
              <w:t xml:space="preserve"> антимонопольного органа признанных судом  недействительными 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036A50" w:rsidRPr="00036A50" w:rsidTr="000D40F7">
        <w:tc>
          <w:tcPr>
            <w:tcW w:w="392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528" w:type="dxa"/>
          </w:tcPr>
          <w:p w:rsidR="00036A50" w:rsidRPr="00036A50" w:rsidRDefault="00036A50" w:rsidP="000D4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A50">
              <w:rPr>
                <w:rFonts w:ascii="Times New Roman" w:hAnsi="Times New Roman" w:cs="Times New Roman"/>
                <w:sz w:val="26"/>
                <w:szCs w:val="26"/>
              </w:rPr>
              <w:t>Количество  решений</w:t>
            </w:r>
            <w:proofErr w:type="gramEnd"/>
            <w:r w:rsidRPr="00036A50">
              <w:rPr>
                <w:rFonts w:ascii="Times New Roman" w:hAnsi="Times New Roman" w:cs="Times New Roman"/>
                <w:sz w:val="26"/>
                <w:szCs w:val="26"/>
              </w:rPr>
              <w:t xml:space="preserve"> антимонопольного органа обжалованных в суд и  признанных  судом (кассация) законными 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1418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036A50" w:rsidRPr="00036A50" w:rsidTr="000D40F7">
        <w:tc>
          <w:tcPr>
            <w:tcW w:w="392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528" w:type="dxa"/>
          </w:tcPr>
          <w:p w:rsidR="00036A50" w:rsidRPr="00036A50" w:rsidRDefault="00036A50" w:rsidP="000D4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036A50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постановлений о наложении штрафа</w:t>
            </w:r>
            <w:r w:rsidRPr="00036A50">
              <w:rPr>
                <w:rFonts w:ascii="Times New Roman" w:hAnsi="Times New Roman" w:cs="Times New Roman"/>
                <w:sz w:val="26"/>
                <w:szCs w:val="26"/>
              </w:rPr>
              <w:t xml:space="preserve"> за нарушения законодательства о контрактной системе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382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366</w:t>
            </w:r>
          </w:p>
        </w:tc>
        <w:tc>
          <w:tcPr>
            <w:tcW w:w="1418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186</w:t>
            </w:r>
          </w:p>
        </w:tc>
      </w:tr>
      <w:tr w:rsidR="00036A50" w:rsidRPr="00036A50" w:rsidTr="000D40F7">
        <w:tc>
          <w:tcPr>
            <w:tcW w:w="392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528" w:type="dxa"/>
          </w:tcPr>
          <w:p w:rsidR="00036A50" w:rsidRPr="00036A50" w:rsidRDefault="00036A50" w:rsidP="000D4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</w:rPr>
              <w:t>Сумма наложенного штрафа (в тыс. руб.)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4646,4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5154,2</w:t>
            </w:r>
          </w:p>
        </w:tc>
        <w:tc>
          <w:tcPr>
            <w:tcW w:w="1418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2205,92</w:t>
            </w:r>
          </w:p>
        </w:tc>
      </w:tr>
      <w:tr w:rsidR="00036A50" w:rsidRPr="00036A50" w:rsidTr="000D40F7">
        <w:tc>
          <w:tcPr>
            <w:tcW w:w="392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528" w:type="dxa"/>
          </w:tcPr>
          <w:p w:rsidR="00036A50" w:rsidRPr="00036A50" w:rsidRDefault="00036A50" w:rsidP="000D4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sz w:val="26"/>
                <w:szCs w:val="26"/>
              </w:rPr>
              <w:t>Оплачено (в тыс. руб.) (с учётом штрафов, наложенных в предыдущем периоде, но оплаченных в текущем периоде)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2835,4</w:t>
            </w:r>
          </w:p>
        </w:tc>
        <w:tc>
          <w:tcPr>
            <w:tcW w:w="1559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3276,3</w:t>
            </w:r>
          </w:p>
        </w:tc>
        <w:tc>
          <w:tcPr>
            <w:tcW w:w="1418" w:type="dxa"/>
          </w:tcPr>
          <w:p w:rsidR="00036A50" w:rsidRPr="00036A50" w:rsidRDefault="00036A50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2808,87</w:t>
            </w:r>
          </w:p>
        </w:tc>
      </w:tr>
    </w:tbl>
    <w:p w:rsidR="00036A50" w:rsidRPr="00036A50" w:rsidRDefault="00036A50" w:rsidP="00036A50">
      <w:pPr>
        <w:ind w:right="-284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036A50" w:rsidRPr="00036A50" w:rsidRDefault="00036A50" w:rsidP="00036A50">
      <w:pPr>
        <w:ind w:right="-284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036A50" w:rsidRPr="00036A50" w:rsidRDefault="00036A50" w:rsidP="00036A50">
      <w:pPr>
        <w:ind w:right="-284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bookmarkEnd w:id="0"/>
    <w:p w:rsidR="00036A50" w:rsidRPr="00036A50" w:rsidRDefault="00036A50" w:rsidP="00036A50">
      <w:pPr>
        <w:rPr>
          <w:rFonts w:ascii="Times New Roman" w:hAnsi="Times New Roman" w:cs="Times New Roman"/>
          <w:b/>
          <w:sz w:val="26"/>
          <w:szCs w:val="26"/>
        </w:rPr>
      </w:pPr>
    </w:p>
    <w:sectPr w:rsidR="00036A50" w:rsidRPr="0003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AC" w:rsidRDefault="004A35AC" w:rsidP="00BB3798">
      <w:pPr>
        <w:spacing w:after="0" w:line="240" w:lineRule="auto"/>
      </w:pPr>
      <w:r>
        <w:separator/>
      </w:r>
    </w:p>
  </w:endnote>
  <w:endnote w:type="continuationSeparator" w:id="0">
    <w:p w:rsidR="004A35AC" w:rsidRDefault="004A35AC" w:rsidP="00B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AC" w:rsidRDefault="004A35AC" w:rsidP="00BB3798">
      <w:pPr>
        <w:spacing w:after="0" w:line="240" w:lineRule="auto"/>
      </w:pPr>
      <w:r>
        <w:separator/>
      </w:r>
    </w:p>
  </w:footnote>
  <w:footnote w:type="continuationSeparator" w:id="0">
    <w:p w:rsidR="004A35AC" w:rsidRDefault="004A35AC" w:rsidP="00BB3798">
      <w:pPr>
        <w:spacing w:after="0" w:line="240" w:lineRule="auto"/>
      </w:pPr>
      <w:r>
        <w:continuationSeparator/>
      </w:r>
    </w:p>
  </w:footnote>
  <w:footnote w:id="1">
    <w:p w:rsidR="00BB3798" w:rsidRPr="00CF5099" w:rsidRDefault="00BB3798" w:rsidP="00BB3798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CF509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 xml:space="preserve">Обзор судебной практики по вопросам, связанным с применением Федерального закона от 18 июля 2011 г. № 223-ФЗ </w:t>
        </w: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«</w:t>
        </w:r>
        <w:r w:rsidRPr="00CF509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О закупках товаров, работ, услуг отдельными видами юридических лиц</w:t>
        </w: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»</w:t>
        </w:r>
        <w:r w:rsidRPr="00CF509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, утв. Президиумом ВС РФ 16 мая 2018 года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51DD"/>
    <w:multiLevelType w:val="hybridMultilevel"/>
    <w:tmpl w:val="ABA2DA7A"/>
    <w:lvl w:ilvl="0" w:tplc="F2426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20A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094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2F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8D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C6C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B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AA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3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D8D"/>
    <w:multiLevelType w:val="hybridMultilevel"/>
    <w:tmpl w:val="B8E2499E"/>
    <w:lvl w:ilvl="0" w:tplc="AC40A8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426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C5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2F4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D5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40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B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A1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CC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4467"/>
    <w:multiLevelType w:val="hybridMultilevel"/>
    <w:tmpl w:val="A8148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46C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46F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29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4D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2B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408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63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22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291D"/>
    <w:multiLevelType w:val="hybridMultilevel"/>
    <w:tmpl w:val="FA9AA49A"/>
    <w:lvl w:ilvl="0" w:tplc="1A580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463C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2" w:tplc="0D26D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E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62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6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6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63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83386F"/>
    <w:multiLevelType w:val="hybridMultilevel"/>
    <w:tmpl w:val="32D6A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8A748A"/>
    <w:multiLevelType w:val="hybridMultilevel"/>
    <w:tmpl w:val="FDB472F2"/>
    <w:lvl w:ilvl="0" w:tplc="ADBEFD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46C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46F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29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4D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2B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408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63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22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85FE1"/>
    <w:multiLevelType w:val="hybridMultilevel"/>
    <w:tmpl w:val="25C8EB7E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 w15:restartNumberingAfterBreak="0">
    <w:nsid w:val="7EF12BB1"/>
    <w:multiLevelType w:val="multilevel"/>
    <w:tmpl w:val="CBB2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B1"/>
    <w:rsid w:val="00036A50"/>
    <w:rsid w:val="003867AB"/>
    <w:rsid w:val="003C7FD9"/>
    <w:rsid w:val="004A35AC"/>
    <w:rsid w:val="005432B1"/>
    <w:rsid w:val="00BB3798"/>
    <w:rsid w:val="00E208C4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50D1-8A58-400A-8AAD-42DBCD9E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37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79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BB3798"/>
    <w:pPr>
      <w:suppressAutoHyphens/>
      <w:overflowPunct w:val="0"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3798"/>
    <w:pPr>
      <w:ind w:left="720"/>
      <w:contextualSpacing/>
    </w:pPr>
  </w:style>
  <w:style w:type="character" w:customStyle="1" w:styleId="Internetlink">
    <w:name w:val="Internet link"/>
    <w:rsid w:val="00036A5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0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80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8083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.ru/hotlaw/federal/1196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3</cp:revision>
  <cp:lastPrinted>2018-05-18T10:41:00Z</cp:lastPrinted>
  <dcterms:created xsi:type="dcterms:W3CDTF">2018-05-18T10:34:00Z</dcterms:created>
  <dcterms:modified xsi:type="dcterms:W3CDTF">2018-05-18T11:16:00Z</dcterms:modified>
</cp:coreProperties>
</file>