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1" w:rsidRPr="00B77505" w:rsidRDefault="00556C40" w:rsidP="009B1827">
      <w:pPr>
        <w:spacing w:line="150" w:lineRule="atLeast"/>
        <w:jc w:val="center"/>
        <w:rPr>
          <w:rFonts w:eastAsia="Times New Roman" w:cs="Times New Roman"/>
          <w:b/>
          <w:szCs w:val="28"/>
        </w:rPr>
      </w:pPr>
      <w:r w:rsidRPr="00B77505">
        <w:rPr>
          <w:rFonts w:eastAsia="Times New Roman" w:cs="Times New Roman"/>
          <w:b/>
          <w:szCs w:val="28"/>
        </w:rPr>
        <w:t>Челябинск</w:t>
      </w:r>
      <w:r w:rsidR="007C222B">
        <w:rPr>
          <w:rFonts w:eastAsia="Times New Roman" w:cs="Times New Roman"/>
          <w:b/>
          <w:szCs w:val="28"/>
        </w:rPr>
        <w:t>ое</w:t>
      </w:r>
      <w:r w:rsidRPr="00B77505">
        <w:rPr>
          <w:rFonts w:eastAsia="Times New Roman" w:cs="Times New Roman"/>
          <w:b/>
          <w:szCs w:val="28"/>
        </w:rPr>
        <w:t xml:space="preserve"> УФАС России </w:t>
      </w:r>
      <w:r w:rsidR="007C222B">
        <w:rPr>
          <w:rFonts w:eastAsia="Times New Roman" w:cs="Times New Roman"/>
          <w:b/>
          <w:szCs w:val="28"/>
        </w:rPr>
        <w:t xml:space="preserve">разъясняет, согласование гарантирующим поставщикам типовых проектов договоров энергоснабжения (купли-продажи электроэнергии) не исключает возможности потребителей оспорить </w:t>
      </w:r>
      <w:r w:rsidR="00B578F6">
        <w:rPr>
          <w:rFonts w:eastAsia="Times New Roman" w:cs="Times New Roman"/>
          <w:b/>
          <w:szCs w:val="28"/>
        </w:rPr>
        <w:t>условия договора энергоснабжения (купли-продажи электрической энергии)</w:t>
      </w:r>
    </w:p>
    <w:p w:rsidR="00556C40" w:rsidRDefault="00556C40" w:rsidP="00E37091">
      <w:pPr>
        <w:spacing w:line="150" w:lineRule="atLeast"/>
        <w:jc w:val="both"/>
        <w:rPr>
          <w:rFonts w:eastAsia="Times New Roman" w:cs="Times New Roman"/>
          <w:szCs w:val="28"/>
        </w:rPr>
      </w:pPr>
    </w:p>
    <w:p w:rsidR="00B77505" w:rsidRDefault="00B77505" w:rsidP="00E37091">
      <w:pPr>
        <w:spacing w:line="150" w:lineRule="atLeast"/>
        <w:jc w:val="both"/>
        <w:rPr>
          <w:rFonts w:eastAsia="Times New Roman" w:cs="Times New Roman"/>
          <w:szCs w:val="28"/>
        </w:rPr>
      </w:pPr>
    </w:p>
    <w:p w:rsidR="00B77505" w:rsidRDefault="00B77505" w:rsidP="00E37091">
      <w:pPr>
        <w:spacing w:line="150" w:lineRule="atLeast"/>
        <w:jc w:val="both"/>
        <w:rPr>
          <w:rFonts w:eastAsia="Times New Roman" w:cs="Times New Roman"/>
          <w:szCs w:val="28"/>
        </w:rPr>
      </w:pPr>
    </w:p>
    <w:p w:rsidR="00B77505" w:rsidRDefault="00B77505" w:rsidP="00E37091">
      <w:pPr>
        <w:spacing w:line="150" w:lineRule="atLeast"/>
        <w:jc w:val="both"/>
        <w:rPr>
          <w:rFonts w:eastAsia="Times New Roman" w:cs="Times New Roman"/>
          <w:szCs w:val="28"/>
        </w:rPr>
      </w:pPr>
    </w:p>
    <w:p w:rsidR="00B77505" w:rsidRPr="00B77505" w:rsidRDefault="00B77505" w:rsidP="00E37091">
      <w:pPr>
        <w:spacing w:line="150" w:lineRule="atLeast"/>
        <w:jc w:val="both"/>
        <w:rPr>
          <w:rFonts w:eastAsia="Times New Roman" w:cs="Times New Roman"/>
          <w:szCs w:val="28"/>
        </w:rPr>
      </w:pPr>
    </w:p>
    <w:p w:rsidR="009B1827" w:rsidRPr="00B77505" w:rsidRDefault="009B1827" w:rsidP="007A5DA6">
      <w:pPr>
        <w:spacing w:line="150" w:lineRule="atLeast"/>
        <w:ind w:firstLine="709"/>
        <w:jc w:val="both"/>
        <w:rPr>
          <w:rFonts w:eastAsia="Times New Roman" w:cs="Tahoma"/>
          <w:color w:val="000000"/>
          <w:szCs w:val="28"/>
        </w:rPr>
      </w:pPr>
      <w:proofErr w:type="gramStart"/>
      <w:r w:rsidRPr="00B77505">
        <w:rPr>
          <w:rFonts w:eastAsia="Times New Roman" w:cs="Tahoma"/>
          <w:color w:val="000000"/>
          <w:szCs w:val="28"/>
        </w:rPr>
        <w:t xml:space="preserve">В соответствии с пунктом 33 Основных положений функционирования розничных рынков электрической энергии, утв. </w:t>
      </w:r>
      <w:r w:rsidR="00B578F6">
        <w:rPr>
          <w:rFonts w:eastAsia="Times New Roman" w:cs="Tahoma"/>
          <w:color w:val="000000"/>
          <w:szCs w:val="28"/>
        </w:rPr>
        <w:t>п</w:t>
      </w:r>
      <w:r w:rsidRPr="00B77505">
        <w:rPr>
          <w:rFonts w:eastAsia="Times New Roman" w:cs="Tahoma"/>
          <w:color w:val="000000"/>
          <w:szCs w:val="28"/>
        </w:rPr>
        <w:t>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="007A5DA6">
        <w:rPr>
          <w:rFonts w:eastAsia="Times New Roman" w:cs="Tahoma"/>
          <w:color w:val="000000"/>
          <w:szCs w:val="28"/>
        </w:rPr>
        <w:t xml:space="preserve"> (далее – Основные положения)</w:t>
      </w:r>
      <w:r w:rsidR="00B578F6">
        <w:rPr>
          <w:rFonts w:eastAsia="Times New Roman" w:cs="Tahoma"/>
          <w:color w:val="000000"/>
          <w:szCs w:val="28"/>
        </w:rPr>
        <w:t>,</w:t>
      </w:r>
      <w:r w:rsidRPr="00B77505">
        <w:rPr>
          <w:rFonts w:eastAsia="Times New Roman" w:cs="Tahoma"/>
          <w:color w:val="000000"/>
          <w:szCs w:val="28"/>
        </w:rPr>
        <w:t xml:space="preserve"> гарантирующие поставщики обязаны разработать и разместить на своих сайтах типовые </w:t>
      </w:r>
      <w:r w:rsidR="008A0896" w:rsidRPr="00B77505">
        <w:rPr>
          <w:rFonts w:eastAsia="Times New Roman" w:cs="Tahoma"/>
          <w:color w:val="000000"/>
          <w:szCs w:val="28"/>
        </w:rPr>
        <w:t xml:space="preserve">проекты </w:t>
      </w:r>
      <w:r w:rsidRPr="00B77505">
        <w:rPr>
          <w:rFonts w:eastAsia="Times New Roman" w:cs="Tahoma"/>
          <w:color w:val="000000"/>
          <w:szCs w:val="28"/>
        </w:rPr>
        <w:t>договор</w:t>
      </w:r>
      <w:r w:rsidR="008A0896" w:rsidRPr="00B77505">
        <w:rPr>
          <w:rFonts w:eastAsia="Times New Roman" w:cs="Tahoma"/>
          <w:color w:val="000000"/>
          <w:szCs w:val="28"/>
        </w:rPr>
        <w:t>ов</w:t>
      </w:r>
      <w:r w:rsidRPr="00B77505">
        <w:rPr>
          <w:rFonts w:eastAsia="Times New Roman" w:cs="Tahoma"/>
          <w:color w:val="000000"/>
          <w:szCs w:val="28"/>
        </w:rPr>
        <w:t xml:space="preserve"> энергоснабжения (купли</w:t>
      </w:r>
      <w:r w:rsidR="00B578F6">
        <w:rPr>
          <w:rFonts w:eastAsia="Times New Roman" w:cs="Tahoma"/>
          <w:color w:val="000000"/>
          <w:szCs w:val="28"/>
        </w:rPr>
        <w:t>-продажи электрической энергии), согласованные с Челябинским УФАС России.</w:t>
      </w:r>
      <w:proofErr w:type="gramEnd"/>
    </w:p>
    <w:p w:rsidR="009B1827" w:rsidRPr="00B77505" w:rsidRDefault="009B1827" w:rsidP="00B83F6E">
      <w:pPr>
        <w:spacing w:line="150" w:lineRule="atLeast"/>
        <w:ind w:firstLine="709"/>
        <w:jc w:val="both"/>
        <w:rPr>
          <w:rFonts w:eastAsia="Times New Roman" w:cs="Tahoma"/>
          <w:color w:val="000000"/>
          <w:szCs w:val="28"/>
        </w:rPr>
      </w:pPr>
      <w:r w:rsidRPr="00B77505">
        <w:rPr>
          <w:rFonts w:eastAsia="Times New Roman" w:cs="Tahoma"/>
          <w:color w:val="000000"/>
          <w:szCs w:val="28"/>
        </w:rPr>
        <w:t>На сегодняшний день, гарантирующие поставщики</w:t>
      </w:r>
      <w:r w:rsidR="00682ABE">
        <w:rPr>
          <w:rFonts w:eastAsia="Times New Roman" w:cs="Tahoma"/>
          <w:color w:val="000000"/>
          <w:szCs w:val="28"/>
        </w:rPr>
        <w:t>:</w:t>
      </w:r>
      <w:r w:rsidRPr="00B77505">
        <w:rPr>
          <w:rFonts w:eastAsia="Times New Roman" w:cs="Tahoma"/>
          <w:color w:val="000000"/>
          <w:szCs w:val="28"/>
        </w:rPr>
        <w:t xml:space="preserve"> </w:t>
      </w:r>
      <w:proofErr w:type="gramStart"/>
      <w:r w:rsidRPr="00B77505">
        <w:rPr>
          <w:rFonts w:eastAsia="Times New Roman" w:cs="Tahoma"/>
          <w:color w:val="000000"/>
          <w:szCs w:val="28"/>
        </w:rPr>
        <w:t>ОАО «</w:t>
      </w:r>
      <w:proofErr w:type="spellStart"/>
      <w:r w:rsidRPr="00B77505">
        <w:rPr>
          <w:rFonts w:eastAsia="Times New Roman" w:cs="Tahoma"/>
          <w:color w:val="000000"/>
          <w:szCs w:val="28"/>
        </w:rPr>
        <w:t>Оборонэнергосбыт</w:t>
      </w:r>
      <w:proofErr w:type="spellEnd"/>
      <w:r w:rsidRPr="00B77505">
        <w:rPr>
          <w:rFonts w:eastAsia="Times New Roman" w:cs="Tahoma"/>
          <w:color w:val="000000"/>
          <w:szCs w:val="28"/>
        </w:rPr>
        <w:t>», ООО «Магнитогорская энергетическая компания» и ОАО «</w:t>
      </w:r>
      <w:proofErr w:type="spellStart"/>
      <w:r w:rsidRPr="00B77505">
        <w:rPr>
          <w:rFonts w:eastAsia="Times New Roman" w:cs="Tahoma"/>
          <w:color w:val="000000"/>
          <w:szCs w:val="28"/>
        </w:rPr>
        <w:t>Челябэнергосбыт</w:t>
      </w:r>
      <w:proofErr w:type="spellEnd"/>
      <w:r w:rsidRPr="00B77505">
        <w:rPr>
          <w:rFonts w:eastAsia="Times New Roman" w:cs="Tahoma"/>
          <w:color w:val="000000"/>
          <w:szCs w:val="28"/>
        </w:rPr>
        <w:t>»</w:t>
      </w:r>
      <w:r w:rsidR="00682ABE">
        <w:rPr>
          <w:rFonts w:eastAsia="Times New Roman" w:cs="Tahoma"/>
          <w:color w:val="000000"/>
          <w:szCs w:val="28"/>
        </w:rPr>
        <w:t>,</w:t>
      </w:r>
      <w:r w:rsidR="00B83F6E" w:rsidRPr="00B77505">
        <w:rPr>
          <w:rFonts w:eastAsia="Times New Roman" w:cs="Tahoma"/>
          <w:color w:val="000000"/>
          <w:szCs w:val="28"/>
        </w:rPr>
        <w:t xml:space="preserve"> представили в Челябинское УФАС России ряд типовых </w:t>
      </w:r>
      <w:r w:rsidR="008A0896" w:rsidRPr="00B77505">
        <w:rPr>
          <w:rFonts w:eastAsia="Times New Roman" w:cs="Tahoma"/>
          <w:color w:val="000000"/>
          <w:szCs w:val="28"/>
        </w:rPr>
        <w:t xml:space="preserve">проектов </w:t>
      </w:r>
      <w:r w:rsidR="00B83F6E" w:rsidRPr="00B77505">
        <w:rPr>
          <w:rFonts w:eastAsia="Times New Roman" w:cs="Tahoma"/>
          <w:color w:val="000000"/>
          <w:szCs w:val="28"/>
        </w:rPr>
        <w:t>договоров энергоснабжения (купли-продажи</w:t>
      </w:r>
      <w:r w:rsidR="00062940" w:rsidRPr="00B77505">
        <w:rPr>
          <w:rFonts w:eastAsia="Times New Roman" w:cs="Tahoma"/>
          <w:color w:val="000000"/>
          <w:szCs w:val="28"/>
        </w:rPr>
        <w:t xml:space="preserve"> электрической энергии</w:t>
      </w:r>
      <w:r w:rsidR="00B83F6E" w:rsidRPr="00B77505">
        <w:rPr>
          <w:rFonts w:eastAsia="Times New Roman" w:cs="Tahoma"/>
          <w:color w:val="000000"/>
          <w:szCs w:val="28"/>
        </w:rPr>
        <w:t>)</w:t>
      </w:r>
      <w:r w:rsidR="00B578F6">
        <w:rPr>
          <w:rFonts w:eastAsia="Times New Roman" w:cs="Tahoma"/>
          <w:color w:val="000000"/>
          <w:szCs w:val="28"/>
        </w:rPr>
        <w:t>,</w:t>
      </w:r>
      <w:r w:rsidRPr="00B77505">
        <w:rPr>
          <w:rFonts w:eastAsia="Times New Roman" w:cs="Tahoma"/>
          <w:color w:val="000000"/>
          <w:szCs w:val="28"/>
        </w:rPr>
        <w:t xml:space="preserve"> </w:t>
      </w:r>
      <w:r w:rsidR="008A0896" w:rsidRPr="00B77505">
        <w:rPr>
          <w:rFonts w:eastAsia="Times New Roman" w:cs="Tahoma"/>
          <w:color w:val="000000"/>
          <w:szCs w:val="28"/>
        </w:rPr>
        <w:t>которые были рассмотрены Челябинским УФАС России</w:t>
      </w:r>
      <w:r w:rsidR="00062940" w:rsidRPr="00B77505">
        <w:rPr>
          <w:rFonts w:eastAsia="Times New Roman" w:cs="Tahoma"/>
          <w:color w:val="000000"/>
          <w:szCs w:val="28"/>
        </w:rPr>
        <w:t>.</w:t>
      </w:r>
      <w:proofErr w:type="gramEnd"/>
      <w:r w:rsidR="00062940" w:rsidRPr="00B77505">
        <w:rPr>
          <w:rFonts w:eastAsia="Times New Roman" w:cs="Tahoma"/>
          <w:color w:val="000000"/>
          <w:szCs w:val="28"/>
        </w:rPr>
        <w:t xml:space="preserve"> </w:t>
      </w:r>
      <w:r w:rsidR="00682ABE">
        <w:rPr>
          <w:rFonts w:eastAsia="Times New Roman" w:cs="Tahoma"/>
          <w:color w:val="000000"/>
          <w:szCs w:val="28"/>
        </w:rPr>
        <w:t>З</w:t>
      </w:r>
      <w:r w:rsidR="00062940" w:rsidRPr="00B77505">
        <w:rPr>
          <w:rFonts w:eastAsia="Times New Roman" w:cs="Tahoma"/>
          <w:color w:val="000000"/>
          <w:szCs w:val="28"/>
        </w:rPr>
        <w:t>амечани</w:t>
      </w:r>
      <w:r w:rsidR="00682ABE">
        <w:rPr>
          <w:rFonts w:eastAsia="Times New Roman" w:cs="Tahoma"/>
          <w:color w:val="000000"/>
          <w:szCs w:val="28"/>
        </w:rPr>
        <w:t>я</w:t>
      </w:r>
      <w:r w:rsidR="00062940" w:rsidRPr="00B77505">
        <w:rPr>
          <w:rFonts w:eastAsia="Times New Roman" w:cs="Tahoma"/>
          <w:color w:val="000000"/>
          <w:szCs w:val="28"/>
        </w:rPr>
        <w:t xml:space="preserve"> Челябинского УФАС России, касающи</w:t>
      </w:r>
      <w:r w:rsidR="00682ABE">
        <w:rPr>
          <w:rFonts w:eastAsia="Times New Roman" w:cs="Tahoma"/>
          <w:color w:val="000000"/>
          <w:szCs w:val="28"/>
        </w:rPr>
        <w:t>е</w:t>
      </w:r>
      <w:r w:rsidR="00062940" w:rsidRPr="00B77505">
        <w:rPr>
          <w:rFonts w:eastAsia="Times New Roman" w:cs="Tahoma"/>
          <w:color w:val="000000"/>
          <w:szCs w:val="28"/>
        </w:rPr>
        <w:t>ся условий договоров</w:t>
      </w:r>
      <w:r w:rsidR="00682ABE">
        <w:rPr>
          <w:rFonts w:eastAsia="Times New Roman" w:cs="Tahoma"/>
          <w:color w:val="000000"/>
          <w:szCs w:val="28"/>
        </w:rPr>
        <w:t>,</w:t>
      </w:r>
      <w:r w:rsidR="00062940" w:rsidRPr="00B77505">
        <w:rPr>
          <w:rFonts w:eastAsia="Times New Roman" w:cs="Tahoma"/>
          <w:color w:val="000000"/>
          <w:szCs w:val="28"/>
        </w:rPr>
        <w:t xml:space="preserve"> был</w:t>
      </w:r>
      <w:r w:rsidR="00682ABE">
        <w:rPr>
          <w:rFonts w:eastAsia="Times New Roman" w:cs="Tahoma"/>
          <w:color w:val="000000"/>
          <w:szCs w:val="28"/>
        </w:rPr>
        <w:t>и</w:t>
      </w:r>
      <w:r w:rsidR="00062940" w:rsidRPr="00B77505">
        <w:rPr>
          <w:rFonts w:eastAsia="Times New Roman" w:cs="Tahoma"/>
          <w:color w:val="000000"/>
          <w:szCs w:val="28"/>
        </w:rPr>
        <w:t xml:space="preserve"> устранен</w:t>
      </w:r>
      <w:r w:rsidR="00682ABE">
        <w:rPr>
          <w:rFonts w:eastAsia="Times New Roman" w:cs="Tahoma"/>
          <w:color w:val="000000"/>
          <w:szCs w:val="28"/>
        </w:rPr>
        <w:t>ы</w:t>
      </w:r>
      <w:r w:rsidR="00062940" w:rsidRPr="00B77505">
        <w:rPr>
          <w:rFonts w:eastAsia="Times New Roman" w:cs="Tahoma"/>
          <w:color w:val="000000"/>
          <w:szCs w:val="28"/>
        </w:rPr>
        <w:t xml:space="preserve"> гарантирующими поставщиками в рабочем порядке. Большая часть проектов типовых договоров согласована </w:t>
      </w:r>
      <w:proofErr w:type="gramStart"/>
      <w:r w:rsidR="00062940" w:rsidRPr="00B77505">
        <w:rPr>
          <w:rFonts w:eastAsia="Times New Roman" w:cs="Tahoma"/>
          <w:color w:val="000000"/>
          <w:szCs w:val="28"/>
        </w:rPr>
        <w:t>Челябинским</w:t>
      </w:r>
      <w:proofErr w:type="gramEnd"/>
      <w:r w:rsidR="00062940" w:rsidRPr="00B77505">
        <w:rPr>
          <w:rFonts w:eastAsia="Times New Roman" w:cs="Tahoma"/>
          <w:color w:val="000000"/>
          <w:szCs w:val="28"/>
        </w:rPr>
        <w:t xml:space="preserve"> УФАС России</w:t>
      </w:r>
      <w:r w:rsidR="008A0896" w:rsidRPr="00B77505">
        <w:rPr>
          <w:rFonts w:eastAsia="Times New Roman" w:cs="Tahoma"/>
          <w:color w:val="000000"/>
          <w:szCs w:val="28"/>
        </w:rPr>
        <w:t xml:space="preserve"> и </w:t>
      </w:r>
      <w:r w:rsidR="00062940" w:rsidRPr="00B77505">
        <w:rPr>
          <w:rFonts w:eastAsia="Times New Roman" w:cs="Tahoma"/>
          <w:color w:val="000000"/>
          <w:szCs w:val="28"/>
        </w:rPr>
        <w:t>размещена на официальных сайтах гарантирующих поставщиков</w:t>
      </w:r>
      <w:r w:rsidR="00B77505" w:rsidRPr="00B77505">
        <w:rPr>
          <w:rFonts w:eastAsia="Times New Roman" w:cs="Tahoma"/>
          <w:color w:val="000000"/>
          <w:szCs w:val="28"/>
        </w:rPr>
        <w:t xml:space="preserve">, работа по анализу и согласованию </w:t>
      </w:r>
      <w:r w:rsidR="00682ABE">
        <w:rPr>
          <w:rFonts w:eastAsia="Times New Roman" w:cs="Tahoma"/>
          <w:color w:val="000000"/>
          <w:szCs w:val="28"/>
        </w:rPr>
        <w:t xml:space="preserve">иных </w:t>
      </w:r>
      <w:r w:rsidR="00B77505" w:rsidRPr="00B77505">
        <w:rPr>
          <w:rFonts w:eastAsia="Times New Roman" w:cs="Tahoma"/>
          <w:color w:val="000000"/>
          <w:szCs w:val="28"/>
        </w:rPr>
        <w:t>договоров продолжается.</w:t>
      </w:r>
    </w:p>
    <w:p w:rsidR="00B77505" w:rsidRPr="00B77505" w:rsidRDefault="007A5DA6" w:rsidP="00B83F6E">
      <w:pPr>
        <w:spacing w:line="150" w:lineRule="atLeast"/>
        <w:ind w:firstLine="709"/>
        <w:jc w:val="both"/>
        <w:rPr>
          <w:rFonts w:eastAsia="Times New Roman" w:cs="Tahoma"/>
          <w:color w:val="000000"/>
          <w:szCs w:val="28"/>
        </w:rPr>
      </w:pPr>
      <w:proofErr w:type="gramStart"/>
      <w:r>
        <w:rPr>
          <w:rFonts w:eastAsia="Times New Roman" w:cs="Tahoma"/>
          <w:color w:val="000000"/>
          <w:szCs w:val="28"/>
        </w:rPr>
        <w:t>Пункт 33 Основных положений устанавливает, что р</w:t>
      </w:r>
      <w:r w:rsidR="00B578F6" w:rsidRPr="00B578F6">
        <w:rPr>
          <w:rFonts w:eastAsia="Times New Roman" w:cs="Tahoma"/>
          <w:color w:val="000000"/>
          <w:szCs w:val="28"/>
        </w:rPr>
        <w:t>азмещенные и опубликованные формы договора энергоснабжения (купли-продажи (поставки) электрической энергии (мощности) являются проектом договора, предлагаемого гарантирующим поставщиком к заключению с потребителями (покупателями), и могут быть использованы потребителем (покупателем), имеющим намерение заключить с гарантирующим поставщиком соответствующий договор или внести изменения в ранее заключенный договор, при подаче гарантирующему поставщику документов, необходимых в соответствии с настоящим документом</w:t>
      </w:r>
      <w:proofErr w:type="gramEnd"/>
      <w:r w:rsidR="00B578F6" w:rsidRPr="00B578F6">
        <w:rPr>
          <w:rFonts w:eastAsia="Times New Roman" w:cs="Tahoma"/>
          <w:color w:val="000000"/>
          <w:szCs w:val="28"/>
        </w:rPr>
        <w:t>, для заключения договора или внесения изменений в ранее заключенный договор.</w:t>
      </w:r>
    </w:p>
    <w:p w:rsidR="00B77505" w:rsidRPr="00B77505" w:rsidRDefault="00B578F6" w:rsidP="00B83F6E">
      <w:pPr>
        <w:spacing w:line="150" w:lineRule="atLeast"/>
        <w:ind w:firstLine="709"/>
        <w:jc w:val="both"/>
        <w:rPr>
          <w:rFonts w:eastAsia="Times New Roman" w:cs="Tahoma"/>
          <w:color w:val="000000"/>
          <w:szCs w:val="28"/>
        </w:rPr>
      </w:pPr>
      <w:proofErr w:type="gramStart"/>
      <w:r w:rsidRPr="00B578F6">
        <w:rPr>
          <w:rFonts w:eastAsia="Times New Roman" w:cs="Tahoma"/>
          <w:color w:val="000000"/>
          <w:szCs w:val="28"/>
        </w:rPr>
        <w:t xml:space="preserve">При несогласии потребителя (покупателя) с каким-либо условием договора, содержание которого предписано настоящим документом, по причине несоответствия формулировки такого условия настоящему документу либо при его несогласии с каким-либо условием договора, содержание которого в соответствии с настоящим документом может быть определено по усмотрению сторон, он вправе направить гарантирующему </w:t>
      </w:r>
      <w:r w:rsidRPr="00B578F6">
        <w:rPr>
          <w:rFonts w:eastAsia="Times New Roman" w:cs="Tahoma"/>
          <w:color w:val="000000"/>
          <w:szCs w:val="28"/>
        </w:rPr>
        <w:lastRenderedPageBreak/>
        <w:t>поставщику предложение о заключении договора на иных условиях (далее - протокол разногласий к проекту договора).</w:t>
      </w:r>
      <w:proofErr w:type="gramEnd"/>
    </w:p>
    <w:p w:rsidR="00B77505" w:rsidRPr="00B77505" w:rsidRDefault="007A5DA6" w:rsidP="00B83F6E">
      <w:pPr>
        <w:spacing w:line="150" w:lineRule="atLeast"/>
        <w:ind w:firstLine="709"/>
        <w:jc w:val="both"/>
        <w:rPr>
          <w:rFonts w:eastAsia="Times New Roman" w:cs="Tahoma"/>
          <w:color w:val="000000"/>
          <w:szCs w:val="28"/>
        </w:rPr>
      </w:pPr>
      <w:r>
        <w:rPr>
          <w:rFonts w:eastAsia="Times New Roman" w:cs="Tahoma"/>
          <w:color w:val="000000"/>
          <w:szCs w:val="28"/>
        </w:rPr>
        <w:t>В случае навязывания гарантирующим поставщиком прямо не предусмотренных, невыгодных условий договора энергоснабжения (купли-продажи электроэнергии) Челябинское УФАС России по заявлению потребителя может применить к такому гарантирующему поставщику меры антимонопольного реагирования, выдав предупреждение о недопустимости нарушения антимонопольного законодательства. В случае невыполнения такого предупреждения, антимонопольный орган возбуждает дело о нарушении антимонопольного законодательства.</w:t>
      </w:r>
    </w:p>
    <w:p w:rsidR="00B77505" w:rsidRPr="00B77505" w:rsidRDefault="00B77505" w:rsidP="00B83F6E">
      <w:pPr>
        <w:spacing w:line="150" w:lineRule="atLeast"/>
        <w:ind w:firstLine="709"/>
        <w:jc w:val="both"/>
        <w:rPr>
          <w:rFonts w:eastAsia="Times New Roman" w:cs="Tahoma"/>
          <w:color w:val="000000"/>
          <w:szCs w:val="28"/>
        </w:rPr>
      </w:pPr>
    </w:p>
    <w:p w:rsidR="00B77505" w:rsidRPr="00B77505" w:rsidRDefault="00B77505" w:rsidP="00B83F6E">
      <w:pPr>
        <w:spacing w:line="150" w:lineRule="atLeast"/>
        <w:ind w:firstLine="709"/>
        <w:jc w:val="both"/>
        <w:rPr>
          <w:rFonts w:eastAsia="Times New Roman" w:cs="Tahoma"/>
          <w:color w:val="000000"/>
          <w:szCs w:val="28"/>
        </w:rPr>
      </w:pPr>
    </w:p>
    <w:p w:rsidR="009B1827" w:rsidRPr="00B77505" w:rsidRDefault="00682ABE" w:rsidP="00E37091">
      <w:pPr>
        <w:spacing w:line="150" w:lineRule="atLeast"/>
        <w:ind w:firstLine="567"/>
        <w:jc w:val="both"/>
        <w:rPr>
          <w:rFonts w:eastAsia="Times New Roman" w:cs="Tahoma"/>
          <w:color w:val="000000"/>
          <w:szCs w:val="28"/>
        </w:rPr>
      </w:pPr>
      <w:r>
        <w:rPr>
          <w:rFonts w:eastAsia="Times New Roman" w:cs="Tahoma"/>
          <w:color w:val="000000"/>
          <w:szCs w:val="28"/>
        </w:rPr>
        <w:t>Пресс-служба Челябинского УФАС России</w:t>
      </w:r>
      <w:bookmarkStart w:id="0" w:name="_GoBack"/>
      <w:bookmarkEnd w:id="0"/>
    </w:p>
    <w:sectPr w:rsidR="009B1827" w:rsidRPr="00B77505" w:rsidSect="0092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91"/>
    <w:rsid w:val="000007C6"/>
    <w:rsid w:val="000275DD"/>
    <w:rsid w:val="00047CCE"/>
    <w:rsid w:val="00062940"/>
    <w:rsid w:val="00087134"/>
    <w:rsid w:val="000A3578"/>
    <w:rsid w:val="000D5C69"/>
    <w:rsid w:val="00151E49"/>
    <w:rsid w:val="001D08D9"/>
    <w:rsid w:val="001E3672"/>
    <w:rsid w:val="001F389D"/>
    <w:rsid w:val="00223633"/>
    <w:rsid w:val="00237EE8"/>
    <w:rsid w:val="00276498"/>
    <w:rsid w:val="00295B06"/>
    <w:rsid w:val="002E252F"/>
    <w:rsid w:val="002E5772"/>
    <w:rsid w:val="00311965"/>
    <w:rsid w:val="003541E7"/>
    <w:rsid w:val="00370A60"/>
    <w:rsid w:val="0037413D"/>
    <w:rsid w:val="003C0CE2"/>
    <w:rsid w:val="003C2F0F"/>
    <w:rsid w:val="003D261C"/>
    <w:rsid w:val="003D4EE4"/>
    <w:rsid w:val="003E096A"/>
    <w:rsid w:val="0043602E"/>
    <w:rsid w:val="00440450"/>
    <w:rsid w:val="00453B4E"/>
    <w:rsid w:val="00461B0C"/>
    <w:rsid w:val="00467D76"/>
    <w:rsid w:val="00503AA3"/>
    <w:rsid w:val="00504E2B"/>
    <w:rsid w:val="00532036"/>
    <w:rsid w:val="00556380"/>
    <w:rsid w:val="00556C40"/>
    <w:rsid w:val="00570993"/>
    <w:rsid w:val="00582611"/>
    <w:rsid w:val="005D20F2"/>
    <w:rsid w:val="006064C1"/>
    <w:rsid w:val="00611A35"/>
    <w:rsid w:val="00655BED"/>
    <w:rsid w:val="0066246B"/>
    <w:rsid w:val="00682ABE"/>
    <w:rsid w:val="006A26C2"/>
    <w:rsid w:val="006E4305"/>
    <w:rsid w:val="00733140"/>
    <w:rsid w:val="00741695"/>
    <w:rsid w:val="007A5DA6"/>
    <w:rsid w:val="007B3E47"/>
    <w:rsid w:val="007C222B"/>
    <w:rsid w:val="007D0653"/>
    <w:rsid w:val="007D3553"/>
    <w:rsid w:val="007E12E2"/>
    <w:rsid w:val="0080394F"/>
    <w:rsid w:val="00812990"/>
    <w:rsid w:val="008234C5"/>
    <w:rsid w:val="008309EF"/>
    <w:rsid w:val="00831EE8"/>
    <w:rsid w:val="008414BA"/>
    <w:rsid w:val="00844BDF"/>
    <w:rsid w:val="008A0896"/>
    <w:rsid w:val="008A7A6A"/>
    <w:rsid w:val="008C6876"/>
    <w:rsid w:val="008E3C42"/>
    <w:rsid w:val="008F0EB5"/>
    <w:rsid w:val="00924C00"/>
    <w:rsid w:val="0092772D"/>
    <w:rsid w:val="00927E69"/>
    <w:rsid w:val="009A08B4"/>
    <w:rsid w:val="009B1827"/>
    <w:rsid w:val="00A03434"/>
    <w:rsid w:val="00A3131D"/>
    <w:rsid w:val="00AF115B"/>
    <w:rsid w:val="00B539CD"/>
    <w:rsid w:val="00B578F6"/>
    <w:rsid w:val="00B77505"/>
    <w:rsid w:val="00B83F6E"/>
    <w:rsid w:val="00B9483A"/>
    <w:rsid w:val="00B96C66"/>
    <w:rsid w:val="00BA60F7"/>
    <w:rsid w:val="00BC4425"/>
    <w:rsid w:val="00C0556C"/>
    <w:rsid w:val="00C05A61"/>
    <w:rsid w:val="00D26E2D"/>
    <w:rsid w:val="00D3037A"/>
    <w:rsid w:val="00D45C63"/>
    <w:rsid w:val="00D70EF9"/>
    <w:rsid w:val="00DC0672"/>
    <w:rsid w:val="00E01653"/>
    <w:rsid w:val="00E3684C"/>
    <w:rsid w:val="00E37091"/>
    <w:rsid w:val="00EA3E21"/>
    <w:rsid w:val="00EB3CE8"/>
    <w:rsid w:val="00ED5604"/>
    <w:rsid w:val="00ED58BD"/>
    <w:rsid w:val="00EF322D"/>
    <w:rsid w:val="00F56F42"/>
    <w:rsid w:val="00F70C77"/>
    <w:rsid w:val="00F83775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ОАР_10</dc:creator>
  <cp:keywords/>
  <dc:description/>
  <cp:lastModifiedBy>Волков В.Д.</cp:lastModifiedBy>
  <cp:revision>36</cp:revision>
  <cp:lastPrinted>2013-05-15T10:50:00Z</cp:lastPrinted>
  <dcterms:created xsi:type="dcterms:W3CDTF">2013-04-26T04:09:00Z</dcterms:created>
  <dcterms:modified xsi:type="dcterms:W3CDTF">2013-05-15T10:58:00Z</dcterms:modified>
</cp:coreProperties>
</file>