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E9" w:rsidRDefault="00FE7DE9" w:rsidP="00FE7DE9">
      <w:pPr>
        <w:shd w:val="clear" w:color="auto" w:fill="FFFFFF" w:themeFill="background1"/>
        <w:ind w:left="10915" w:firstLine="1"/>
        <w:jc w:val="center"/>
      </w:pPr>
      <w:r>
        <w:t xml:space="preserve">Приложение к </w:t>
      </w:r>
      <w:r w:rsidR="00025468">
        <w:t>приказ</w:t>
      </w:r>
      <w:r>
        <w:t>у</w:t>
      </w:r>
      <w:r w:rsidR="00D85F0A" w:rsidRPr="00D85F0A">
        <w:t xml:space="preserve"> </w:t>
      </w:r>
    </w:p>
    <w:p w:rsidR="0016710E" w:rsidRDefault="00FE7DE9" w:rsidP="00FE7DE9">
      <w:pPr>
        <w:shd w:val="clear" w:color="auto" w:fill="FFFFFF" w:themeFill="background1"/>
        <w:ind w:left="10915" w:firstLine="1"/>
        <w:jc w:val="center"/>
      </w:pPr>
      <w:r>
        <w:t>Челябинского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9858D3">
        <w:t xml:space="preserve"> 27.05.2016</w:t>
      </w:r>
      <w:r w:rsidR="00196B28">
        <w:t xml:space="preserve"> №</w:t>
      </w:r>
      <w:r w:rsidR="009858D3">
        <w:t xml:space="preserve"> 103</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FE7DE9"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Челябинской области</w:t>
      </w:r>
      <w:r w:rsidR="00866AE1" w:rsidRPr="00DB74CD">
        <w:rPr>
          <w:b/>
          <w:sz w:val="28"/>
          <w:szCs w:val="28"/>
        </w:rPr>
        <w:t xml:space="preserve"> </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FE7DE9">
              <w:rPr>
                <w:b/>
              </w:rPr>
              <w:t>Челябинского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FE7DE9">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FE7DE9">
              <w:t>и</w:t>
            </w:r>
            <w:r w:rsidRPr="00DB74CD">
              <w:t xml:space="preserve"> </w:t>
            </w:r>
            <w:r w:rsidR="00FE7DE9">
              <w:t xml:space="preserve">Управления </w:t>
            </w:r>
            <w:r w:rsidRPr="00DB74CD">
              <w:t xml:space="preserve">Федеральной антимонопольной службы </w:t>
            </w:r>
            <w:r w:rsidR="00FE7DE9">
              <w:t xml:space="preserve">по Челябинской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p>
          <w:p w:rsidR="00A02E4C" w:rsidRPr="00DB74CD" w:rsidRDefault="00FE7DE9" w:rsidP="00FE7DE9">
            <w:pPr>
              <w:shd w:val="clear" w:color="auto" w:fill="FFFFFF" w:themeFill="background1"/>
              <w:jc w:val="center"/>
            </w:pPr>
            <w:r>
              <w:t>Административно-финансовый отдел</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FE7DE9">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государственных гражданских служащих (далее - гражданские служащие</w:t>
            </w:r>
            <w:r w:rsidR="00FE7DE9">
              <w:t>)</w:t>
            </w:r>
            <w:r w:rsidR="00E25694">
              <w:t xml:space="preserve">, </w:t>
            </w:r>
            <w:r w:rsidR="00FF45AA" w:rsidRPr="00DB74CD">
              <w:t>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29637E" w:rsidP="009A5A6A">
            <w:pPr>
              <w:shd w:val="clear" w:color="auto" w:fill="FFFFFF" w:themeFill="background1"/>
              <w:spacing w:before="120" w:after="120"/>
              <w:jc w:val="center"/>
            </w:pPr>
            <w:r>
              <w:t>1.</w:t>
            </w:r>
            <w:r w:rsidR="009A5A6A">
              <w:t>2</w:t>
            </w:r>
            <w:r w:rsidR="003569CD">
              <w:t>.</w:t>
            </w:r>
          </w:p>
        </w:tc>
        <w:tc>
          <w:tcPr>
            <w:tcW w:w="6184" w:type="dxa"/>
          </w:tcPr>
          <w:p w:rsidR="003569CD" w:rsidRPr="00DB74CD" w:rsidRDefault="003569CD" w:rsidP="00FE7DE9">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FE7DE9">
              <w:t>.</w:t>
            </w:r>
            <w:r>
              <w:t xml:space="preserve"> </w:t>
            </w:r>
            <w:r w:rsidR="0029637E">
              <w:t xml:space="preserve">Обеспечение контроля своевременности </w:t>
            </w:r>
            <w:r>
              <w:t>представления указанных сведений.</w:t>
            </w:r>
          </w:p>
        </w:tc>
        <w:tc>
          <w:tcPr>
            <w:tcW w:w="2321" w:type="dxa"/>
          </w:tcPr>
          <w:p w:rsidR="00B0379B" w:rsidRPr="00DB74CD" w:rsidRDefault="00FE7DE9" w:rsidP="00DB74CD">
            <w:pPr>
              <w:shd w:val="clear" w:color="auto" w:fill="FFFFFF" w:themeFill="background1"/>
              <w:jc w:val="center"/>
            </w:pPr>
            <w:r>
              <w:t>Административно-финансовый отдел</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FE7DE9">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w:t>
            </w:r>
            <w:r w:rsidR="00FE7DE9">
              <w:t>ствах имущественного характера на себя</w:t>
            </w:r>
            <w:r>
              <w:t xml:space="preserve"> и членов своей семьи.</w:t>
            </w:r>
          </w:p>
        </w:tc>
      </w:tr>
      <w:tr w:rsidR="00AE766B" w:rsidRPr="00DB74CD" w:rsidTr="00E25694">
        <w:trPr>
          <w:jc w:val="center"/>
        </w:trPr>
        <w:tc>
          <w:tcPr>
            <w:tcW w:w="704" w:type="dxa"/>
          </w:tcPr>
          <w:p w:rsidR="00AE766B" w:rsidRDefault="0029637E" w:rsidP="009A5A6A">
            <w:pPr>
              <w:shd w:val="clear" w:color="auto" w:fill="FFFFFF" w:themeFill="background1"/>
              <w:spacing w:before="120" w:after="120"/>
              <w:jc w:val="center"/>
            </w:pPr>
            <w:r>
              <w:t>1.</w:t>
            </w:r>
            <w:r w:rsidR="009A5A6A">
              <w:t>3</w:t>
            </w:r>
            <w:r w:rsidR="00AE766B">
              <w:t>.</w:t>
            </w:r>
          </w:p>
        </w:tc>
        <w:tc>
          <w:tcPr>
            <w:tcW w:w="6184" w:type="dxa"/>
          </w:tcPr>
          <w:p w:rsidR="00AE766B" w:rsidRDefault="00AE766B" w:rsidP="00FE7DE9">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FE7DE9">
              <w:t>Челябинского У</w:t>
            </w:r>
            <w:r w:rsidR="005218A5">
              <w:t>ФАС России</w:t>
            </w:r>
            <w:r w:rsidR="002067BA">
              <w:t xml:space="preserve"> в соответствии с Перечнями должностей, замещение которых влечет за собой </w:t>
            </w:r>
            <w:r w:rsidR="00FE7DE9">
              <w:t>размещение на официальном сайте</w:t>
            </w:r>
            <w:r w:rsidR="002067BA">
              <w:t>.</w:t>
            </w:r>
          </w:p>
        </w:tc>
        <w:tc>
          <w:tcPr>
            <w:tcW w:w="2321" w:type="dxa"/>
          </w:tcPr>
          <w:p w:rsidR="00B0379B" w:rsidRDefault="00FE7DE9" w:rsidP="00DB74CD">
            <w:pPr>
              <w:shd w:val="clear" w:color="auto" w:fill="FFFFFF" w:themeFill="background1"/>
              <w:jc w:val="center"/>
            </w:pPr>
            <w:r>
              <w:t>Административно-финансовый отделе</w:t>
            </w:r>
          </w:p>
        </w:tc>
        <w:tc>
          <w:tcPr>
            <w:tcW w:w="1701" w:type="dxa"/>
          </w:tcPr>
          <w:p w:rsidR="00AE766B" w:rsidRDefault="005218A5" w:rsidP="00174C9E">
            <w:pPr>
              <w:shd w:val="clear" w:color="auto" w:fill="FFFFFF" w:themeFill="background1"/>
              <w:jc w:val="center"/>
            </w:pPr>
            <w:r>
              <w:t xml:space="preserve">В течение 14 рабочих дней со дня истечения срока, установленного для подачи </w:t>
            </w:r>
            <w:r>
              <w:lastRenderedPageBreak/>
              <w:t>указанных сведений</w:t>
            </w:r>
          </w:p>
        </w:tc>
        <w:tc>
          <w:tcPr>
            <w:tcW w:w="4678" w:type="dxa"/>
          </w:tcPr>
          <w:p w:rsidR="00AE766B" w:rsidRDefault="005218A5" w:rsidP="00FE7DE9">
            <w:pPr>
              <w:shd w:val="clear" w:color="auto" w:fill="FFFFFF" w:themeFill="background1"/>
              <w:ind w:right="-108"/>
              <w:jc w:val="both"/>
            </w:pPr>
            <w:r>
              <w:lastRenderedPageBreak/>
              <w:t>Повышение открытости и доступности информации о деятельности по профилакти</w:t>
            </w:r>
            <w:r w:rsidR="00FE7DE9">
              <w:t>ке коррупционных правонарушений</w:t>
            </w:r>
            <w:r>
              <w:t>.</w:t>
            </w:r>
          </w:p>
        </w:tc>
      </w:tr>
      <w:tr w:rsidR="005218A5" w:rsidRPr="00DB74CD" w:rsidTr="00E25694">
        <w:trPr>
          <w:jc w:val="center"/>
        </w:trPr>
        <w:tc>
          <w:tcPr>
            <w:tcW w:w="704" w:type="dxa"/>
          </w:tcPr>
          <w:p w:rsidR="005218A5" w:rsidRDefault="0029637E" w:rsidP="009A5A6A">
            <w:pPr>
              <w:shd w:val="clear" w:color="auto" w:fill="FFFFFF" w:themeFill="background1"/>
              <w:spacing w:before="120" w:after="120"/>
              <w:jc w:val="center"/>
            </w:pPr>
            <w:r>
              <w:lastRenderedPageBreak/>
              <w:t>1.</w:t>
            </w:r>
            <w:r w:rsidR="009A5A6A">
              <w:t>4</w:t>
            </w:r>
            <w:r w:rsidR="005218A5">
              <w:t>.</w:t>
            </w:r>
          </w:p>
        </w:tc>
        <w:tc>
          <w:tcPr>
            <w:tcW w:w="6184" w:type="dxa"/>
          </w:tcPr>
          <w:p w:rsidR="005218A5" w:rsidRDefault="005218A5" w:rsidP="00FE7DE9">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FE7DE9">
              <w:t>Челябинского УФАС России</w:t>
            </w:r>
            <w:r>
              <w:t>.</w:t>
            </w:r>
          </w:p>
        </w:tc>
        <w:tc>
          <w:tcPr>
            <w:tcW w:w="2321" w:type="dxa"/>
          </w:tcPr>
          <w:p w:rsidR="00B0379B" w:rsidRDefault="00FE7DE9" w:rsidP="00DB74CD">
            <w:pPr>
              <w:shd w:val="clear" w:color="auto" w:fill="FFFFFF" w:themeFill="background1"/>
              <w:jc w:val="center"/>
            </w:pPr>
            <w:r>
              <w:t>Административно-финансовый отдел</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FE7DE9">
            <w:pPr>
              <w:shd w:val="clear" w:color="auto" w:fill="FFFFFF" w:themeFill="background1"/>
              <w:jc w:val="center"/>
            </w:pPr>
            <w:r w:rsidRPr="0029637E">
              <w:t xml:space="preserve">до </w:t>
            </w:r>
            <w:r w:rsidR="00FE7DE9">
              <w:t>31</w:t>
            </w:r>
            <w:r w:rsidRPr="0029637E">
              <w:t xml:space="preserve"> </w:t>
            </w:r>
            <w:r w:rsidR="00FE7DE9">
              <w:t>мая</w:t>
            </w:r>
          </w:p>
        </w:tc>
        <w:tc>
          <w:tcPr>
            <w:tcW w:w="4678" w:type="dxa"/>
          </w:tcPr>
          <w:p w:rsidR="005218A5" w:rsidRDefault="005218A5" w:rsidP="00FE7DE9">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9A5A6A">
            <w:pPr>
              <w:shd w:val="clear" w:color="auto" w:fill="FFFFFF" w:themeFill="background1"/>
              <w:spacing w:before="120" w:after="120"/>
              <w:jc w:val="center"/>
            </w:pPr>
            <w:r>
              <w:t>1.</w:t>
            </w:r>
            <w:r w:rsidR="009A5A6A">
              <w:t>5</w:t>
            </w:r>
            <w:r w:rsidR="00B0379B">
              <w:t>.</w:t>
            </w:r>
          </w:p>
        </w:tc>
        <w:tc>
          <w:tcPr>
            <w:tcW w:w="6184" w:type="dxa"/>
          </w:tcPr>
          <w:p w:rsidR="00B0379B" w:rsidRDefault="0029637E" w:rsidP="00FE7DE9">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FE7DE9">
              <w:t>Челябинского УФАС России.</w:t>
            </w:r>
          </w:p>
        </w:tc>
        <w:tc>
          <w:tcPr>
            <w:tcW w:w="2321" w:type="dxa"/>
          </w:tcPr>
          <w:p w:rsidR="00B0379B" w:rsidRDefault="00FE7DE9" w:rsidP="00CA2C84">
            <w:pPr>
              <w:shd w:val="clear" w:color="auto" w:fill="FFFFFF" w:themeFill="background1"/>
              <w:jc w:val="center"/>
            </w:pPr>
            <w:r>
              <w:t>Административно-финансовый отдел</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FE7DE9">
            <w:pPr>
              <w:shd w:val="clear" w:color="auto" w:fill="FFFFFF" w:themeFill="background1"/>
              <w:ind w:right="-108"/>
              <w:jc w:val="both"/>
            </w:pPr>
            <w:r>
              <w:t>Выявление случаев несоблюдения гражданскими</w:t>
            </w:r>
            <w:r w:rsidR="00FE7DE9">
              <w:t xml:space="preserve"> </w:t>
            </w:r>
            <w:r>
              <w:t>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9A5A6A">
            <w:pPr>
              <w:shd w:val="clear" w:color="auto" w:fill="FFFFFF" w:themeFill="background1"/>
              <w:spacing w:before="120" w:after="120"/>
              <w:jc w:val="center"/>
            </w:pPr>
            <w:r>
              <w:t>1.</w:t>
            </w:r>
            <w:r w:rsidR="009A5A6A">
              <w:t>6</w:t>
            </w:r>
            <w:r w:rsidR="00B0379B">
              <w:t>.</w:t>
            </w:r>
          </w:p>
        </w:tc>
        <w:tc>
          <w:tcPr>
            <w:tcW w:w="6184" w:type="dxa"/>
          </w:tcPr>
          <w:p w:rsidR="00B0379B" w:rsidRDefault="00B0379B" w:rsidP="00FE7DE9">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w:t>
            </w:r>
            <w:r w:rsidR="00FE7DE9">
              <w:t xml:space="preserve">гражданскими </w:t>
            </w:r>
            <w:r w:rsidRPr="00DB74CD">
              <w:t xml:space="preserve">служащими </w:t>
            </w:r>
            <w:r w:rsidR="00FE7DE9">
              <w:t>Челябинского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FE7DE9" w:rsidP="00B0379B">
            <w:pPr>
              <w:shd w:val="clear" w:color="auto" w:fill="FFFFFF" w:themeFill="background1"/>
              <w:jc w:val="center"/>
            </w:pPr>
            <w:r>
              <w:t>Административно-финансовый отдел</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9A5A6A">
            <w:pPr>
              <w:shd w:val="clear" w:color="auto" w:fill="FFFFFF" w:themeFill="background1"/>
              <w:spacing w:before="120" w:after="120"/>
              <w:jc w:val="center"/>
            </w:pPr>
            <w:r>
              <w:t>1.</w:t>
            </w:r>
            <w:r w:rsidR="009A5A6A">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Pr="00DB74CD" w:rsidRDefault="00FE7DE9" w:rsidP="006A7BEE">
            <w:pPr>
              <w:shd w:val="clear" w:color="auto" w:fill="FFFFFF" w:themeFill="background1"/>
              <w:jc w:val="center"/>
            </w:pPr>
            <w:r>
              <w:t>Административно-финансовый отдел</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9A5A6A">
            <w:pPr>
              <w:shd w:val="clear" w:color="auto" w:fill="FFFFFF" w:themeFill="background1"/>
              <w:jc w:val="center"/>
            </w:pPr>
            <w:r>
              <w:t>1.</w:t>
            </w:r>
            <w:r w:rsidR="009A5A6A">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E7DE9"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ФАС России требований части 2 статьи 14 и п/п 17 части 1 статьи 17 Федерального закона от 27.07.2004 № 79-ФЗ «О </w:t>
            </w:r>
            <w:r>
              <w:rPr>
                <w:rFonts w:ascii="Times New Roman" w:hAnsi="Times New Roman" w:cs="Times New Roman"/>
                <w:sz w:val="24"/>
                <w:szCs w:val="24"/>
              </w:rPr>
              <w:lastRenderedPageBreak/>
              <w:t>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9A5A6A">
            <w:pPr>
              <w:shd w:val="clear" w:color="auto" w:fill="FFFFFF" w:themeFill="background1"/>
              <w:jc w:val="center"/>
            </w:pPr>
            <w:r w:rsidRPr="00DB74CD">
              <w:lastRenderedPageBreak/>
              <w:t>1.</w:t>
            </w:r>
            <w:r w:rsidR="009A5A6A">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FE7DE9">
              <w:t>Челябинского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E7DE9"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FE7DE9">
              <w:rPr>
                <w:rFonts w:ascii="Times New Roman" w:hAnsi="Times New Roman" w:cs="Times New Roman"/>
                <w:sz w:val="24"/>
                <w:szCs w:val="24"/>
              </w:rPr>
              <w:t>Челябинского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9A5A6A">
            <w:pPr>
              <w:shd w:val="clear" w:color="auto" w:fill="FFFFFF" w:themeFill="background1"/>
              <w:jc w:val="center"/>
            </w:pPr>
            <w:r>
              <w:t>1.1</w:t>
            </w:r>
            <w:r w:rsidR="009A5A6A">
              <w:t>0</w:t>
            </w:r>
            <w:r>
              <w:t>.</w:t>
            </w:r>
          </w:p>
        </w:tc>
        <w:tc>
          <w:tcPr>
            <w:tcW w:w="6184" w:type="dxa"/>
          </w:tcPr>
          <w:p w:rsidR="00C0378F" w:rsidRPr="00DB74CD" w:rsidRDefault="00C0378F" w:rsidP="001E2442">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1E2442">
              <w:t>Челябинского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r w:rsidR="001E2442">
              <w:t>.</w:t>
            </w:r>
          </w:p>
        </w:tc>
        <w:tc>
          <w:tcPr>
            <w:tcW w:w="2321" w:type="dxa"/>
          </w:tcPr>
          <w:p w:rsidR="00C0378F" w:rsidRPr="00DB74CD" w:rsidRDefault="001E2442" w:rsidP="00666106">
            <w:pPr>
              <w:shd w:val="clear" w:color="auto" w:fill="FFFFFF" w:themeFill="background1"/>
              <w:jc w:val="center"/>
            </w:pPr>
            <w:r>
              <w:t>Административно-финансовый отдел</w:t>
            </w:r>
          </w:p>
        </w:tc>
        <w:tc>
          <w:tcPr>
            <w:tcW w:w="1701" w:type="dxa"/>
          </w:tcPr>
          <w:p w:rsidR="00C11F37" w:rsidRDefault="00C11F37" w:rsidP="001E2442">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9A5A6A">
            <w:pPr>
              <w:shd w:val="clear" w:color="auto" w:fill="FFFFFF" w:themeFill="background1"/>
              <w:jc w:val="center"/>
            </w:pPr>
            <w:r>
              <w:t>1.1</w:t>
            </w:r>
            <w:r w:rsidR="009A5A6A">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1E2442">
              <w:t>Челябинского У</w:t>
            </w:r>
            <w:r w:rsidRPr="00DB74CD">
              <w:t xml:space="preserve">ФАС России ограничений, запретов и обязанностей, </w:t>
            </w:r>
            <w:r w:rsidRPr="00DB74CD">
              <w:lastRenderedPageBreak/>
              <w:t xml:space="preserve">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F45AA" w:rsidRPr="00DB74CD" w:rsidRDefault="001E2442" w:rsidP="001E2442">
            <w:pPr>
              <w:shd w:val="clear" w:color="auto" w:fill="FFFFFF" w:themeFill="background1"/>
              <w:jc w:val="center"/>
            </w:pPr>
            <w:r>
              <w:lastRenderedPageBreak/>
              <w:t>Административно-финансовый отдел</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Проведение</w:t>
            </w:r>
            <w:r w:rsidR="001E2442">
              <w:rPr>
                <w:rFonts w:ascii="Times New Roman" w:hAnsi="Times New Roman" w:cs="Times New Roman"/>
                <w:sz w:val="24"/>
                <w:szCs w:val="24"/>
              </w:rPr>
              <w:t xml:space="preserve"> разъяснений,</w:t>
            </w:r>
            <w:r>
              <w:rPr>
                <w:rFonts w:ascii="Times New Roman" w:hAnsi="Times New Roman" w:cs="Times New Roman"/>
                <w:sz w:val="24"/>
                <w:szCs w:val="24"/>
              </w:rPr>
              <w:t xml:space="preserve"> консультаций. Индивидуальные беседы с гражданами, поступающими на государственную службу.</w:t>
            </w: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9A5A6A">
            <w:pPr>
              <w:shd w:val="clear" w:color="auto" w:fill="FFFFFF" w:themeFill="background1"/>
              <w:jc w:val="center"/>
            </w:pPr>
            <w:r>
              <w:lastRenderedPageBreak/>
              <w:t>1.</w:t>
            </w:r>
            <w:r w:rsidR="006307BD">
              <w:t>1</w:t>
            </w:r>
            <w:r w:rsidR="009A5A6A">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w:t>
            </w:r>
            <w:r w:rsidR="001E2442">
              <w:t>.</w:t>
            </w: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1E2442" w:rsidP="00DB74CD">
            <w:pPr>
              <w:shd w:val="clear" w:color="auto" w:fill="FFFFFF" w:themeFill="background1"/>
              <w:jc w:val="center"/>
            </w:pPr>
            <w:r>
              <w:t>Административно-финансовый отдел</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633081" w:rsidRPr="00DB74CD" w:rsidRDefault="003105FD" w:rsidP="001E2442">
            <w:pPr>
              <w:shd w:val="clear" w:color="auto" w:fill="FFFFFF" w:themeFill="background1"/>
              <w:jc w:val="both"/>
            </w:pPr>
            <w:r>
              <w:t>Соблюдение гражданскими служащими требований законодательства о противодействии коррупции и Этического кодекса гражданских служащих ФАС России.</w:t>
            </w:r>
          </w:p>
        </w:tc>
      </w:tr>
      <w:tr w:rsidR="00FF45AA" w:rsidRPr="00124665" w:rsidTr="00E25694">
        <w:trPr>
          <w:jc w:val="center"/>
        </w:trPr>
        <w:tc>
          <w:tcPr>
            <w:tcW w:w="704" w:type="dxa"/>
          </w:tcPr>
          <w:p w:rsidR="00FF45AA" w:rsidRPr="00DB74CD" w:rsidRDefault="00C574B6" w:rsidP="009A5A6A">
            <w:pPr>
              <w:shd w:val="clear" w:color="auto" w:fill="FFFFFF" w:themeFill="background1"/>
              <w:jc w:val="center"/>
            </w:pPr>
            <w:r>
              <w:t>1.</w:t>
            </w:r>
            <w:r w:rsidR="006307BD">
              <w:t>1</w:t>
            </w:r>
            <w:r w:rsidR="009A5A6A">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B94975">
              <w:t>Челябинского У</w:t>
            </w:r>
            <w:r w:rsidRPr="00DB74CD">
              <w:t>ФАС России, в должностные обязанности которых входит участие в противодействии коррупции</w:t>
            </w:r>
          </w:p>
        </w:tc>
        <w:tc>
          <w:tcPr>
            <w:tcW w:w="2321" w:type="dxa"/>
          </w:tcPr>
          <w:p w:rsidR="00FF45AA" w:rsidRPr="00DB74CD" w:rsidRDefault="00B94975"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B94975">
            <w:pPr>
              <w:shd w:val="clear" w:color="auto" w:fill="FFFFFF" w:themeFill="background1"/>
              <w:jc w:val="both"/>
            </w:pPr>
            <w:r w:rsidRPr="00DB74CD">
              <w:t>Повышение квалификации государственных служащих,</w:t>
            </w:r>
            <w:r w:rsidR="00B94975">
              <w:t xml:space="preserve"> </w:t>
            </w:r>
            <w:r w:rsidRPr="00DB74CD">
              <w:t>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9A5A6A">
            <w:pPr>
              <w:shd w:val="clear" w:color="auto" w:fill="FFFFFF" w:themeFill="background1"/>
              <w:jc w:val="center"/>
            </w:pPr>
            <w:r w:rsidRPr="00DB74CD">
              <w:t>1.1</w:t>
            </w:r>
            <w:r w:rsidR="009A5A6A">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B94975">
              <w:t>Челябинского У</w:t>
            </w:r>
            <w:r w:rsidRPr="00DB74CD">
              <w:t>ФАС России и повышение эффективности его использования</w:t>
            </w:r>
          </w:p>
        </w:tc>
        <w:tc>
          <w:tcPr>
            <w:tcW w:w="2321" w:type="dxa"/>
          </w:tcPr>
          <w:p w:rsidR="00FF45AA" w:rsidRPr="00DB74CD" w:rsidRDefault="00B94975"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B94975">
            <w:pPr>
              <w:shd w:val="clear" w:color="auto" w:fill="FFFFFF" w:themeFill="background1"/>
              <w:jc w:val="both"/>
            </w:pPr>
            <w:r w:rsidRPr="00DB74CD">
              <w:t>Включение в кадровый резерв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9A5A6A">
            <w:pPr>
              <w:shd w:val="clear" w:color="auto" w:fill="FFFFFF" w:themeFill="background1"/>
              <w:jc w:val="center"/>
            </w:pPr>
            <w:r>
              <w:t>1.1</w:t>
            </w:r>
            <w:r w:rsidR="009A5A6A">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w:t>
            </w:r>
            <w:r>
              <w:lastRenderedPageBreak/>
              <w:t xml:space="preserve">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B94975" w:rsidP="00867F0C">
            <w:pPr>
              <w:shd w:val="clear" w:color="auto" w:fill="FFFFFF" w:themeFill="background1"/>
              <w:jc w:val="center"/>
            </w:pPr>
            <w:r>
              <w:lastRenderedPageBreak/>
              <w:t>Административно-финансовый отдел</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FF45AA" w:rsidP="0025241A">
            <w:pPr>
              <w:shd w:val="clear" w:color="auto" w:fill="FFFFFF" w:themeFill="background1"/>
            </w:pPr>
          </w:p>
        </w:tc>
      </w:tr>
      <w:tr w:rsidR="00720AAF" w:rsidRPr="00DB74CD" w:rsidTr="00E25694">
        <w:trPr>
          <w:jc w:val="center"/>
        </w:trPr>
        <w:tc>
          <w:tcPr>
            <w:tcW w:w="704" w:type="dxa"/>
          </w:tcPr>
          <w:p w:rsidR="00720AAF" w:rsidRDefault="009A5A6A" w:rsidP="009A5A6A">
            <w:pPr>
              <w:shd w:val="clear" w:color="auto" w:fill="FFFFFF" w:themeFill="background1"/>
              <w:jc w:val="center"/>
            </w:pPr>
            <w:r>
              <w:lastRenderedPageBreak/>
              <w:t>1.16</w:t>
            </w:r>
            <w:r w:rsidR="00801A94">
              <w:t>.</w:t>
            </w:r>
          </w:p>
        </w:tc>
        <w:tc>
          <w:tcPr>
            <w:tcW w:w="6184" w:type="dxa"/>
          </w:tcPr>
          <w:p w:rsidR="00720AAF" w:rsidRDefault="00720AAF" w:rsidP="00B94975">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B94975">
              <w:t>Челябинским УФАС России</w:t>
            </w:r>
          </w:p>
        </w:tc>
        <w:tc>
          <w:tcPr>
            <w:tcW w:w="2321" w:type="dxa"/>
          </w:tcPr>
          <w:p w:rsidR="00720AAF" w:rsidRPr="00DB74CD" w:rsidRDefault="00B94975" w:rsidP="00720AAF">
            <w:pPr>
              <w:shd w:val="clear" w:color="auto" w:fill="FFFFFF" w:themeFill="background1"/>
              <w:jc w:val="center"/>
            </w:pPr>
            <w:r>
              <w:t>Административно-финансовый отдел</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B94975">
            <w:pPr>
              <w:shd w:val="clear" w:color="auto" w:fill="FFFFFF" w:themeFill="background1"/>
              <w:jc w:val="both"/>
            </w:pPr>
            <w:r>
              <w:t>Подготовка и направление о</w:t>
            </w:r>
            <w:r w:rsidR="00720AAF" w:rsidRPr="00B0379B">
              <w:t>тчет</w:t>
            </w:r>
            <w:r>
              <w:t>а</w:t>
            </w:r>
            <w:r w:rsidR="00720AAF" w:rsidRPr="00B0379B">
              <w:t xml:space="preserve"> о ходе реализации мер по противодействию коррупции </w:t>
            </w:r>
            <w:r>
              <w:t xml:space="preserve">в </w:t>
            </w:r>
            <w:r w:rsidR="00B94975">
              <w:t xml:space="preserve">Центральный аппарат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9A5A6A">
            <w:pPr>
              <w:shd w:val="clear" w:color="auto" w:fill="FFFFFF" w:themeFill="background1"/>
              <w:tabs>
                <w:tab w:val="left" w:pos="252"/>
              </w:tabs>
              <w:jc w:val="center"/>
            </w:pPr>
            <w:r w:rsidRPr="00DB74CD">
              <w:t>2.</w:t>
            </w:r>
            <w:r w:rsidR="009A5A6A">
              <w:t>1</w:t>
            </w:r>
            <w:r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r w:rsidR="00C432F3">
              <w:t>Челябинского У</w:t>
            </w:r>
            <w:r>
              <w:t>ФАС России</w:t>
            </w:r>
          </w:p>
        </w:tc>
        <w:tc>
          <w:tcPr>
            <w:tcW w:w="2321" w:type="dxa"/>
          </w:tcPr>
          <w:p w:rsidR="00FF45AA" w:rsidRPr="00DB74CD" w:rsidRDefault="00B94975" w:rsidP="00DB74CD">
            <w:pPr>
              <w:shd w:val="clear" w:color="auto" w:fill="FFFFFF" w:themeFill="background1"/>
              <w:jc w:val="center"/>
            </w:pPr>
            <w:r>
              <w:t>Административно-финансовый отдел</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F76AD1">
            <w:pPr>
              <w:shd w:val="clear" w:color="auto" w:fill="FFFFFF" w:themeFill="background1"/>
              <w:jc w:val="both"/>
            </w:pPr>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w:t>
            </w:r>
            <w:r w:rsidRPr="00DB74CD">
              <w:t>,</w:t>
            </w:r>
            <w:r w:rsidR="00F76AD1">
              <w:t xml:space="preserve"> аукционы (электронные</w:t>
            </w:r>
            <w:r w:rsidR="00250286">
              <w:t>),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rsidR="00250286">
              <w:t>ении</w:t>
            </w:r>
            <w:r w:rsidRPr="00DB74CD">
              <w:t xml:space="preserve"> </w:t>
            </w:r>
            <w:r w:rsidR="00C432F3">
              <w:t>Челябинским У</w:t>
            </w:r>
            <w:r w:rsidRPr="00DB74CD">
              <w:t xml:space="preserve">ФАС России </w:t>
            </w:r>
            <w:r w:rsidR="00250286">
              <w:t>государственных закупок.</w:t>
            </w:r>
          </w:p>
        </w:tc>
      </w:tr>
      <w:tr w:rsidR="008207C2" w:rsidRPr="00DB74CD" w:rsidTr="00E25694">
        <w:trPr>
          <w:jc w:val="center"/>
        </w:trPr>
        <w:tc>
          <w:tcPr>
            <w:tcW w:w="704" w:type="dxa"/>
          </w:tcPr>
          <w:p w:rsidR="008207C2" w:rsidRDefault="008207C2" w:rsidP="009A5A6A">
            <w:pPr>
              <w:shd w:val="clear" w:color="auto" w:fill="FFFFFF" w:themeFill="background1"/>
              <w:jc w:val="center"/>
            </w:pPr>
            <w:r>
              <w:t>2.</w:t>
            </w:r>
            <w:r w:rsidR="009A5A6A">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Pr="00DB74CD" w:rsidRDefault="00B94975" w:rsidP="00B94975">
            <w:pPr>
              <w:shd w:val="clear" w:color="auto" w:fill="FFFFFF" w:themeFill="background1"/>
              <w:ind w:left="-108"/>
              <w:jc w:val="center"/>
            </w:pPr>
            <w:r>
              <w:t>Административно-финансовый отдел</w:t>
            </w: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w:t>
            </w:r>
            <w:r>
              <w:lastRenderedPageBreak/>
              <w:t xml:space="preserve">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lastRenderedPageBreak/>
              <w:t xml:space="preserve">Осуществление автоматизированного сбора и анализа сведений о доходах, расходах, об имуществе и обязательствах имущественного характера, </w:t>
            </w:r>
            <w:r>
              <w:lastRenderedPageBreak/>
              <w:t>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9A5A6A">
              <w:rPr>
                <w:b/>
              </w:rPr>
              <w:t>Челябинского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9A5A6A">
              <w:rPr>
                <w:b/>
              </w:rPr>
              <w:t>Челябинского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9A5A6A">
            <w:pPr>
              <w:shd w:val="clear" w:color="auto" w:fill="FFFFFF" w:themeFill="background1"/>
              <w:autoSpaceDE w:val="0"/>
              <w:autoSpaceDN w:val="0"/>
              <w:adjustRightInd w:val="0"/>
              <w:jc w:val="both"/>
            </w:pPr>
            <w:r w:rsidRPr="00DB74CD">
              <w:t xml:space="preserve">Обеспечение размещения на официальном сайте </w:t>
            </w:r>
            <w:r>
              <w:t xml:space="preserve">в сети Интернет </w:t>
            </w:r>
            <w:r w:rsidRPr="00DB74CD">
              <w:t>информации об</w:t>
            </w:r>
            <w:r w:rsidR="009A5A6A">
              <w:t xml:space="preserve"> антикоррупционной деятельности</w:t>
            </w:r>
            <w:r>
              <w:t>,</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9A5A6A"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2</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Обобщение практики рассмотрения полученных в разных формах обращений граждан и организаций по фактам проявления коррупции в </w:t>
            </w:r>
            <w:r w:rsidR="009A5A6A">
              <w:t>Челябинском У</w:t>
            </w:r>
            <w:r w:rsidRPr="00DB74CD">
              <w:t>ФАС России и повышение результативности и эффективности этой работы</w:t>
            </w:r>
            <w:r>
              <w:t>.</w:t>
            </w:r>
          </w:p>
        </w:tc>
        <w:tc>
          <w:tcPr>
            <w:tcW w:w="2321" w:type="dxa"/>
          </w:tcPr>
          <w:p w:rsidR="00FF45AA" w:rsidRPr="00DB74CD" w:rsidRDefault="009A5A6A" w:rsidP="009A5A6A">
            <w:pPr>
              <w:shd w:val="clear" w:color="auto" w:fill="FFFFFF" w:themeFill="background1"/>
              <w:ind w:left="-164"/>
              <w:jc w:val="center"/>
            </w:pPr>
            <w:r>
              <w:t>Административно-финансовый отдел</w:t>
            </w: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3</w:t>
            </w:r>
            <w:r w:rsidR="00FF45AA" w:rsidRPr="00DB74CD">
              <w:t>.</w:t>
            </w:r>
          </w:p>
        </w:tc>
        <w:tc>
          <w:tcPr>
            <w:tcW w:w="6184" w:type="dxa"/>
          </w:tcPr>
          <w:p w:rsidR="00FF45AA" w:rsidRPr="009A5A6A"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9A5A6A">
              <w:t>Челябинского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tc>
        <w:tc>
          <w:tcPr>
            <w:tcW w:w="2321" w:type="dxa"/>
          </w:tcPr>
          <w:p w:rsidR="00FF45AA" w:rsidRPr="00DB74CD" w:rsidRDefault="009A5A6A" w:rsidP="00DB74CD">
            <w:pPr>
              <w:shd w:val="clear" w:color="auto" w:fill="FFFFFF" w:themeFill="background1"/>
              <w:jc w:val="center"/>
              <w:rPr>
                <w:i/>
              </w:rPr>
            </w:pPr>
            <w:r>
              <w:t>Административно-финансовый отдел</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4</w:t>
            </w:r>
            <w:r w:rsidR="00FF45AA" w:rsidRPr="00DB74CD">
              <w:t>.</w:t>
            </w:r>
          </w:p>
        </w:tc>
        <w:tc>
          <w:tcPr>
            <w:tcW w:w="6184" w:type="dxa"/>
          </w:tcPr>
          <w:p w:rsidR="00FF45AA" w:rsidRPr="00DB74CD" w:rsidRDefault="00FF45AA" w:rsidP="009A5A6A">
            <w:pPr>
              <w:shd w:val="clear" w:color="auto" w:fill="FFFFFF" w:themeFill="background1"/>
              <w:autoSpaceDE w:val="0"/>
              <w:autoSpaceDN w:val="0"/>
              <w:adjustRightInd w:val="0"/>
              <w:jc w:val="both"/>
            </w:pPr>
            <w:r w:rsidRPr="00DB74CD">
              <w:t xml:space="preserve">Обеспечение эффективного взаимодействия </w:t>
            </w:r>
            <w:r w:rsidR="009A5A6A">
              <w:t>Челябинского У</w:t>
            </w:r>
            <w:r w:rsidRPr="00DB74CD">
              <w:t>ФАС России со средствами массовой информации в сфере противодействия коррупции</w:t>
            </w:r>
          </w:p>
        </w:tc>
        <w:tc>
          <w:tcPr>
            <w:tcW w:w="2321" w:type="dxa"/>
          </w:tcPr>
          <w:p w:rsidR="00B73567" w:rsidRPr="00DB74CD" w:rsidRDefault="009A5A6A" w:rsidP="00063DCA">
            <w:pPr>
              <w:shd w:val="clear" w:color="auto" w:fill="FFFFFF" w:themeFill="background1"/>
              <w:ind w:left="-164"/>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w:t>
            </w:r>
            <w:r w:rsidR="00B73567">
              <w:lastRenderedPageBreak/>
              <w:t>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lastRenderedPageBreak/>
              <w:t>3.</w:t>
            </w:r>
            <w:r w:rsidR="009A5A6A">
              <w:t>5</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9A5A6A">
              <w:t>Челябинском У</w:t>
            </w:r>
            <w:r w:rsidRPr="00DB74CD">
              <w:t>ФАС России и организация проверки таких фактов</w:t>
            </w:r>
          </w:p>
        </w:tc>
        <w:tc>
          <w:tcPr>
            <w:tcW w:w="2321" w:type="dxa"/>
          </w:tcPr>
          <w:p w:rsidR="00FF45AA" w:rsidRPr="00DB74CD" w:rsidRDefault="009A5A6A" w:rsidP="00DB74CD">
            <w:pPr>
              <w:shd w:val="clear" w:color="auto" w:fill="FFFFFF" w:themeFill="background1"/>
              <w:jc w:val="center"/>
            </w:pPr>
            <w:r>
              <w:t>Административно-финансовый отдел</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90F94" w:rsidRPr="00DB74CD" w:rsidTr="00E25694">
        <w:trPr>
          <w:jc w:val="center"/>
        </w:trPr>
        <w:tc>
          <w:tcPr>
            <w:tcW w:w="704" w:type="dxa"/>
          </w:tcPr>
          <w:p w:rsidR="00C90F94" w:rsidRPr="00201A2C" w:rsidRDefault="00C90F94" w:rsidP="009A5A6A">
            <w:r>
              <w:t>4.</w:t>
            </w:r>
            <w:r w:rsidR="009A5A6A">
              <w:t>1</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90F94" w:rsidRDefault="009A5A6A" w:rsidP="009A5A6A">
            <w:pPr>
              <w:jc w:val="center"/>
            </w:pPr>
            <w:r>
              <w:t>Структурные подразделения Челябинского УФАС России</w:t>
            </w:r>
          </w:p>
          <w:p w:rsidR="009A5A6A" w:rsidRPr="00201A2C" w:rsidRDefault="009A5A6A" w:rsidP="009A5A6A">
            <w:pPr>
              <w:jc w:val="center"/>
            </w:pPr>
          </w:p>
        </w:tc>
        <w:tc>
          <w:tcPr>
            <w:tcW w:w="1701" w:type="dxa"/>
          </w:tcPr>
          <w:p w:rsidR="00C90F94" w:rsidRPr="00201A2C" w:rsidRDefault="00C90F94" w:rsidP="00C90F94">
            <w:r>
              <w:t>постоянно</w:t>
            </w:r>
          </w:p>
        </w:tc>
        <w:tc>
          <w:tcPr>
            <w:tcW w:w="4678" w:type="dxa"/>
          </w:tcPr>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077DC9" w:rsidP="009A5A6A">
            <w:r>
              <w:t>4.</w:t>
            </w:r>
            <w:r w:rsidR="009A5A6A">
              <w:t>2</w:t>
            </w:r>
            <w:r>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9A5A6A">
              <w:t>Челябинского У</w:t>
            </w:r>
            <w:r>
              <w:t>ФАС России только в помещениях, оборудованными средствами аудио и видеозаписи.</w:t>
            </w:r>
          </w:p>
        </w:tc>
        <w:tc>
          <w:tcPr>
            <w:tcW w:w="2321" w:type="dxa"/>
          </w:tcPr>
          <w:p w:rsidR="004B3186" w:rsidRDefault="009A5A6A" w:rsidP="009A5A6A">
            <w:pPr>
              <w:jc w:val="center"/>
            </w:pPr>
            <w:r>
              <w:t>должностные лица Челябинского УФАС России уполномоченные на проведение личного приема граждан,</w:t>
            </w:r>
          </w:p>
          <w:p w:rsidR="009A5A6A" w:rsidRPr="00201A2C" w:rsidRDefault="009A5A6A" w:rsidP="009A5A6A">
            <w:pPr>
              <w:jc w:val="center"/>
            </w:pPr>
            <w:r>
              <w:t>Административно-финансовый отдел</w:t>
            </w:r>
          </w:p>
        </w:tc>
        <w:tc>
          <w:tcPr>
            <w:tcW w:w="1701" w:type="dxa"/>
          </w:tcPr>
          <w:p w:rsidR="00077DC9" w:rsidRDefault="00077DC9" w:rsidP="00C90F94">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7C" w:rsidRDefault="00D45E7C">
      <w:r>
        <w:separator/>
      </w:r>
    </w:p>
  </w:endnote>
  <w:endnote w:type="continuationSeparator" w:id="0">
    <w:p w:rsidR="00D45E7C" w:rsidRDefault="00D4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9858D3">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7C" w:rsidRDefault="00D45E7C">
      <w:r>
        <w:separator/>
      </w:r>
    </w:p>
  </w:footnote>
  <w:footnote w:type="continuationSeparator" w:id="0">
    <w:p w:rsidR="00D45E7C" w:rsidRDefault="00D4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2442"/>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05FD"/>
    <w:rsid w:val="00311BC6"/>
    <w:rsid w:val="00317344"/>
    <w:rsid w:val="00317531"/>
    <w:rsid w:val="00322950"/>
    <w:rsid w:val="00324A54"/>
    <w:rsid w:val="00331AB6"/>
    <w:rsid w:val="00331F75"/>
    <w:rsid w:val="00331FAD"/>
    <w:rsid w:val="0033272D"/>
    <w:rsid w:val="00332B84"/>
    <w:rsid w:val="00333FF1"/>
    <w:rsid w:val="0033436C"/>
    <w:rsid w:val="00334A29"/>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0F87"/>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AB4"/>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858D3"/>
    <w:rsid w:val="009963EB"/>
    <w:rsid w:val="009975D8"/>
    <w:rsid w:val="009A09A9"/>
    <w:rsid w:val="009A09E2"/>
    <w:rsid w:val="009A2FBE"/>
    <w:rsid w:val="009A3379"/>
    <w:rsid w:val="009A3AF6"/>
    <w:rsid w:val="009A50E4"/>
    <w:rsid w:val="009A5A6A"/>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67B"/>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5"/>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32F3"/>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5E7C"/>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6AD1"/>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7DE9"/>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E90B-2C6F-49E1-91B8-423B7BC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Педко Наталья Юрьевна</cp:lastModifiedBy>
  <cp:revision>5</cp:revision>
  <cp:lastPrinted>2016-05-31T12:08:00Z</cp:lastPrinted>
  <dcterms:created xsi:type="dcterms:W3CDTF">2016-05-31T11:04:00Z</dcterms:created>
  <dcterms:modified xsi:type="dcterms:W3CDTF">2016-06-17T10:36:00Z</dcterms:modified>
</cp:coreProperties>
</file>