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7C" w:rsidRPr="0047017C" w:rsidRDefault="0047017C" w:rsidP="0047017C">
      <w:pPr>
        <w:autoSpaceDN w:val="0"/>
        <w:ind w:left="5670"/>
        <w:jc w:val="both"/>
        <w:textAlignment w:val="baseline"/>
        <w:rPr>
          <w:color w:val="auto"/>
          <w:kern w:val="3"/>
          <w:sz w:val="26"/>
          <w:szCs w:val="26"/>
          <w:lang w:val="ru-RU" w:eastAsia="ru-RU" w:bidi="ar-SA"/>
        </w:rPr>
      </w:pPr>
      <w:r w:rsidRPr="0047017C">
        <w:rPr>
          <w:color w:val="auto"/>
          <w:kern w:val="3"/>
          <w:sz w:val="26"/>
          <w:szCs w:val="26"/>
          <w:lang w:val="ru-RU" w:eastAsia="ru-RU" w:bidi="ar-SA"/>
        </w:rPr>
        <w:t>Совет депутатов Саткинского городского поселения</w:t>
      </w:r>
    </w:p>
    <w:p w:rsidR="0047017C" w:rsidRPr="0047017C" w:rsidRDefault="0047017C" w:rsidP="0047017C">
      <w:pPr>
        <w:autoSpaceDN w:val="0"/>
        <w:ind w:left="5670"/>
        <w:jc w:val="both"/>
        <w:textAlignment w:val="baseline"/>
        <w:rPr>
          <w:color w:val="auto"/>
          <w:kern w:val="3"/>
          <w:sz w:val="26"/>
          <w:szCs w:val="26"/>
          <w:lang w:val="ru-RU" w:eastAsia="ru-RU" w:bidi="ar-SA"/>
        </w:rPr>
      </w:pPr>
    </w:p>
    <w:p w:rsidR="00165838" w:rsidRDefault="0047017C" w:rsidP="0047017C">
      <w:pPr>
        <w:autoSpaceDN w:val="0"/>
        <w:ind w:left="5670"/>
        <w:jc w:val="both"/>
        <w:textAlignment w:val="baseline"/>
        <w:rPr>
          <w:sz w:val="26"/>
          <w:szCs w:val="26"/>
          <w:lang w:val="ru-RU"/>
        </w:rPr>
      </w:pPr>
      <w:r w:rsidRPr="0047017C">
        <w:rPr>
          <w:color w:val="auto"/>
          <w:kern w:val="3"/>
          <w:sz w:val="26"/>
          <w:szCs w:val="26"/>
          <w:lang w:val="ru-RU" w:eastAsia="ru-RU" w:bidi="ar-SA"/>
        </w:rPr>
        <w:t xml:space="preserve">ул. Металлургов, 2, г. </w:t>
      </w:r>
      <w:proofErr w:type="spellStart"/>
      <w:r w:rsidRPr="0047017C">
        <w:rPr>
          <w:color w:val="auto"/>
          <w:kern w:val="3"/>
          <w:sz w:val="26"/>
          <w:szCs w:val="26"/>
          <w:lang w:val="ru-RU" w:eastAsia="ru-RU" w:bidi="ar-SA"/>
        </w:rPr>
        <w:t>Сатка</w:t>
      </w:r>
      <w:proofErr w:type="spellEnd"/>
      <w:r w:rsidRPr="0047017C">
        <w:rPr>
          <w:color w:val="auto"/>
          <w:kern w:val="3"/>
          <w:sz w:val="26"/>
          <w:szCs w:val="26"/>
          <w:lang w:val="ru-RU" w:eastAsia="ru-RU" w:bidi="ar-SA"/>
        </w:rPr>
        <w:t>, Челябинская область, 456910</w:t>
      </w:r>
    </w:p>
    <w:p w:rsidR="004675BF" w:rsidRDefault="004675BF" w:rsidP="006F3893">
      <w:pPr>
        <w:keepNext/>
        <w:autoSpaceDN w:val="0"/>
        <w:spacing w:line="200" w:lineRule="atLeast"/>
        <w:jc w:val="center"/>
        <w:textAlignment w:val="baseline"/>
        <w:outlineLvl w:val="6"/>
        <w:rPr>
          <w:rFonts w:eastAsia="Times New Roman" w:cs="Times New Roman"/>
          <w:b/>
          <w:color w:val="auto"/>
          <w:kern w:val="3"/>
          <w:sz w:val="26"/>
          <w:szCs w:val="26"/>
          <w:lang w:val="ru-RU" w:eastAsia="ru-RU" w:bidi="ar-SA"/>
        </w:rPr>
      </w:pPr>
    </w:p>
    <w:p w:rsidR="004675BF" w:rsidRDefault="004675BF" w:rsidP="006F3893">
      <w:pPr>
        <w:keepNext/>
        <w:autoSpaceDN w:val="0"/>
        <w:spacing w:line="200" w:lineRule="atLeast"/>
        <w:jc w:val="center"/>
        <w:textAlignment w:val="baseline"/>
        <w:outlineLvl w:val="6"/>
        <w:rPr>
          <w:rFonts w:eastAsia="Times New Roman" w:cs="Times New Roman"/>
          <w:b/>
          <w:color w:val="auto"/>
          <w:kern w:val="3"/>
          <w:sz w:val="26"/>
          <w:szCs w:val="26"/>
          <w:lang w:val="ru-RU" w:eastAsia="ru-RU" w:bidi="ar-SA"/>
        </w:rPr>
      </w:pPr>
    </w:p>
    <w:p w:rsidR="00CE788D" w:rsidRDefault="00CE788D" w:rsidP="006F3893">
      <w:pPr>
        <w:keepNext/>
        <w:autoSpaceDN w:val="0"/>
        <w:spacing w:line="200" w:lineRule="atLeast"/>
        <w:jc w:val="center"/>
        <w:textAlignment w:val="baseline"/>
        <w:outlineLvl w:val="6"/>
        <w:rPr>
          <w:rFonts w:eastAsia="Times New Roman" w:cs="Times New Roman"/>
          <w:b/>
          <w:color w:val="auto"/>
          <w:kern w:val="3"/>
          <w:sz w:val="26"/>
          <w:szCs w:val="26"/>
          <w:lang w:val="ru-RU" w:eastAsia="ru-RU" w:bidi="ar-SA"/>
        </w:rPr>
      </w:pPr>
    </w:p>
    <w:p w:rsidR="00CE788D" w:rsidRDefault="00CE788D" w:rsidP="006F3893">
      <w:pPr>
        <w:keepNext/>
        <w:autoSpaceDN w:val="0"/>
        <w:spacing w:line="200" w:lineRule="atLeast"/>
        <w:jc w:val="center"/>
        <w:textAlignment w:val="baseline"/>
        <w:outlineLvl w:val="6"/>
        <w:rPr>
          <w:rFonts w:eastAsia="Times New Roman" w:cs="Times New Roman"/>
          <w:b/>
          <w:color w:val="auto"/>
          <w:kern w:val="3"/>
          <w:sz w:val="26"/>
          <w:szCs w:val="26"/>
          <w:lang w:val="ru-RU" w:eastAsia="ru-RU" w:bidi="ar-SA"/>
        </w:rPr>
      </w:pPr>
    </w:p>
    <w:p w:rsidR="0047017C" w:rsidRDefault="0047017C" w:rsidP="006F3893">
      <w:pPr>
        <w:keepNext/>
        <w:autoSpaceDN w:val="0"/>
        <w:spacing w:line="200" w:lineRule="atLeast"/>
        <w:jc w:val="center"/>
        <w:textAlignment w:val="baseline"/>
        <w:outlineLvl w:val="6"/>
        <w:rPr>
          <w:rFonts w:eastAsia="Times New Roman" w:cs="Times New Roman"/>
          <w:b/>
          <w:color w:val="auto"/>
          <w:kern w:val="3"/>
          <w:sz w:val="26"/>
          <w:szCs w:val="26"/>
          <w:lang w:val="ru-RU" w:eastAsia="ru-RU" w:bidi="ar-SA"/>
        </w:rPr>
      </w:pPr>
    </w:p>
    <w:p w:rsidR="0047017C" w:rsidRDefault="0047017C" w:rsidP="006F3893">
      <w:pPr>
        <w:keepNext/>
        <w:autoSpaceDN w:val="0"/>
        <w:spacing w:line="200" w:lineRule="atLeast"/>
        <w:jc w:val="center"/>
        <w:textAlignment w:val="baseline"/>
        <w:outlineLvl w:val="6"/>
        <w:rPr>
          <w:rFonts w:eastAsia="Times New Roman" w:cs="Times New Roman"/>
          <w:b/>
          <w:color w:val="auto"/>
          <w:kern w:val="3"/>
          <w:sz w:val="26"/>
          <w:szCs w:val="26"/>
          <w:lang w:val="ru-RU" w:eastAsia="ru-RU" w:bidi="ar-SA"/>
        </w:rPr>
      </w:pPr>
    </w:p>
    <w:p w:rsidR="0047017C" w:rsidRDefault="0047017C" w:rsidP="006F3893">
      <w:pPr>
        <w:keepNext/>
        <w:autoSpaceDN w:val="0"/>
        <w:spacing w:line="200" w:lineRule="atLeast"/>
        <w:jc w:val="center"/>
        <w:textAlignment w:val="baseline"/>
        <w:outlineLvl w:val="6"/>
        <w:rPr>
          <w:rFonts w:eastAsia="Times New Roman" w:cs="Times New Roman"/>
          <w:b/>
          <w:color w:val="auto"/>
          <w:kern w:val="3"/>
          <w:sz w:val="26"/>
          <w:szCs w:val="26"/>
          <w:lang w:val="ru-RU" w:eastAsia="ru-RU" w:bidi="ar-SA"/>
        </w:rPr>
      </w:pPr>
    </w:p>
    <w:p w:rsidR="0047017C" w:rsidRDefault="0047017C" w:rsidP="006F3893">
      <w:pPr>
        <w:keepNext/>
        <w:autoSpaceDN w:val="0"/>
        <w:spacing w:line="200" w:lineRule="atLeast"/>
        <w:jc w:val="center"/>
        <w:textAlignment w:val="baseline"/>
        <w:outlineLvl w:val="6"/>
        <w:rPr>
          <w:rFonts w:eastAsia="Times New Roman" w:cs="Times New Roman"/>
          <w:b/>
          <w:color w:val="auto"/>
          <w:kern w:val="3"/>
          <w:sz w:val="26"/>
          <w:szCs w:val="26"/>
          <w:lang w:val="ru-RU" w:eastAsia="ru-RU" w:bidi="ar-SA"/>
        </w:rPr>
      </w:pPr>
    </w:p>
    <w:p w:rsidR="0047017C" w:rsidRDefault="0047017C" w:rsidP="006F3893">
      <w:pPr>
        <w:keepNext/>
        <w:autoSpaceDN w:val="0"/>
        <w:spacing w:line="200" w:lineRule="atLeast"/>
        <w:jc w:val="center"/>
        <w:textAlignment w:val="baseline"/>
        <w:outlineLvl w:val="6"/>
        <w:rPr>
          <w:rFonts w:eastAsia="Times New Roman" w:cs="Times New Roman"/>
          <w:b/>
          <w:color w:val="auto"/>
          <w:kern w:val="3"/>
          <w:sz w:val="26"/>
          <w:szCs w:val="26"/>
          <w:lang w:val="ru-RU" w:eastAsia="ru-RU" w:bidi="ar-SA"/>
        </w:rPr>
      </w:pPr>
    </w:p>
    <w:p w:rsidR="0047017C" w:rsidRDefault="0047017C" w:rsidP="006F3893">
      <w:pPr>
        <w:keepNext/>
        <w:autoSpaceDN w:val="0"/>
        <w:spacing w:line="200" w:lineRule="atLeast"/>
        <w:jc w:val="center"/>
        <w:textAlignment w:val="baseline"/>
        <w:outlineLvl w:val="6"/>
        <w:rPr>
          <w:rFonts w:eastAsia="Times New Roman" w:cs="Times New Roman"/>
          <w:b/>
          <w:color w:val="auto"/>
          <w:kern w:val="3"/>
          <w:sz w:val="26"/>
          <w:szCs w:val="26"/>
          <w:lang w:val="ru-RU" w:eastAsia="ru-RU" w:bidi="ar-SA"/>
        </w:rPr>
      </w:pPr>
    </w:p>
    <w:p w:rsidR="0047017C" w:rsidRDefault="0047017C" w:rsidP="006F3893">
      <w:pPr>
        <w:keepNext/>
        <w:autoSpaceDN w:val="0"/>
        <w:spacing w:line="200" w:lineRule="atLeast"/>
        <w:jc w:val="center"/>
        <w:textAlignment w:val="baseline"/>
        <w:outlineLvl w:val="6"/>
        <w:rPr>
          <w:rFonts w:eastAsia="Times New Roman" w:cs="Times New Roman"/>
          <w:b/>
          <w:color w:val="auto"/>
          <w:kern w:val="3"/>
          <w:sz w:val="26"/>
          <w:szCs w:val="26"/>
          <w:lang w:val="ru-RU" w:eastAsia="ru-RU" w:bidi="ar-SA"/>
        </w:rPr>
      </w:pPr>
    </w:p>
    <w:p w:rsidR="006F3893" w:rsidRPr="006F3893" w:rsidRDefault="006F3893" w:rsidP="006F3893">
      <w:pPr>
        <w:keepNext/>
        <w:autoSpaceDN w:val="0"/>
        <w:spacing w:line="200" w:lineRule="atLeast"/>
        <w:jc w:val="center"/>
        <w:textAlignment w:val="baseline"/>
        <w:outlineLvl w:val="6"/>
        <w:rPr>
          <w:rFonts w:eastAsia="Times New Roman" w:cs="Times New Roman"/>
          <w:b/>
          <w:color w:val="auto"/>
          <w:kern w:val="3"/>
          <w:sz w:val="26"/>
          <w:szCs w:val="26"/>
          <w:lang w:val="ru-RU" w:eastAsia="ru-RU" w:bidi="ar-SA"/>
        </w:rPr>
      </w:pPr>
      <w:r w:rsidRPr="006F3893">
        <w:rPr>
          <w:rFonts w:eastAsia="Times New Roman" w:cs="Times New Roman"/>
          <w:b/>
          <w:color w:val="auto"/>
          <w:kern w:val="3"/>
          <w:sz w:val="26"/>
          <w:szCs w:val="26"/>
          <w:lang w:val="ru-RU" w:eastAsia="ru-RU" w:bidi="ar-SA"/>
        </w:rPr>
        <w:t>РЕШЕНИЕ</w:t>
      </w:r>
    </w:p>
    <w:p w:rsidR="006F3893" w:rsidRPr="006F3893" w:rsidRDefault="0047017C" w:rsidP="006F3893">
      <w:pPr>
        <w:keepNext/>
        <w:autoSpaceDN w:val="0"/>
        <w:spacing w:line="200" w:lineRule="atLeast"/>
        <w:jc w:val="center"/>
        <w:textAlignment w:val="baseline"/>
        <w:outlineLvl w:val="6"/>
        <w:rPr>
          <w:rFonts w:eastAsia="Times New Roman" w:cs="Times New Roman"/>
          <w:b/>
          <w:color w:val="auto"/>
          <w:kern w:val="3"/>
          <w:sz w:val="26"/>
          <w:szCs w:val="26"/>
          <w:lang w:val="ru-RU" w:eastAsia="ar-SA" w:bidi="ar-SA"/>
        </w:rPr>
      </w:pPr>
      <w:r>
        <w:rPr>
          <w:rFonts w:eastAsia="Times New Roman" w:cs="Times New Roman"/>
          <w:b/>
          <w:color w:val="auto"/>
          <w:kern w:val="3"/>
          <w:sz w:val="26"/>
          <w:szCs w:val="26"/>
          <w:lang w:val="ru-RU" w:eastAsia="ar-SA" w:bidi="ar-SA"/>
        </w:rPr>
        <w:t>по делу № 42</w:t>
      </w:r>
      <w:r w:rsidR="006F3893" w:rsidRPr="006F3893">
        <w:rPr>
          <w:rFonts w:eastAsia="Times New Roman" w:cs="Times New Roman"/>
          <w:b/>
          <w:color w:val="auto"/>
          <w:kern w:val="3"/>
          <w:sz w:val="26"/>
          <w:szCs w:val="26"/>
          <w:lang w:val="ru-RU" w:eastAsia="ar-SA" w:bidi="ar-SA"/>
        </w:rPr>
        <w:t>-07/12 о нарушении антимонопольного законодательства</w:t>
      </w:r>
    </w:p>
    <w:p w:rsidR="006F3893" w:rsidRPr="006F3893" w:rsidRDefault="006F3893" w:rsidP="006F3893">
      <w:pPr>
        <w:keepNext/>
        <w:autoSpaceDN w:val="0"/>
        <w:spacing w:line="200" w:lineRule="atLeast"/>
        <w:jc w:val="center"/>
        <w:textAlignment w:val="baseline"/>
        <w:outlineLvl w:val="6"/>
        <w:rPr>
          <w:rFonts w:eastAsia="Times New Roman" w:cs="Times New Roman"/>
          <w:color w:val="auto"/>
          <w:kern w:val="3"/>
          <w:sz w:val="26"/>
          <w:szCs w:val="26"/>
          <w:lang w:val="ru-RU" w:eastAsia="ru-RU" w:bidi="ar-SA"/>
        </w:rPr>
      </w:pPr>
    </w:p>
    <w:p w:rsidR="006F3893" w:rsidRPr="006F3893" w:rsidRDefault="006F3893" w:rsidP="006F3893">
      <w:pPr>
        <w:autoSpaceDN w:val="0"/>
        <w:spacing w:line="200" w:lineRule="atLeast"/>
        <w:jc w:val="both"/>
        <w:textAlignment w:val="baseline"/>
        <w:rPr>
          <w:rFonts w:eastAsia="Times New Roman" w:cs="Times New Roman"/>
          <w:bCs/>
          <w:color w:val="auto"/>
          <w:kern w:val="3"/>
          <w:sz w:val="26"/>
          <w:szCs w:val="26"/>
          <w:lang w:val="ru-RU" w:eastAsia="ru-RU" w:bidi="ar-SA"/>
        </w:rPr>
      </w:pPr>
      <w:r w:rsidRPr="006F3893">
        <w:rPr>
          <w:rFonts w:eastAsia="Times New Roman" w:cs="Times New Roman"/>
          <w:bCs/>
          <w:color w:val="auto"/>
          <w:kern w:val="3"/>
          <w:sz w:val="26"/>
          <w:szCs w:val="26"/>
          <w:lang w:val="ru-RU" w:eastAsia="ru-RU" w:bidi="ar-SA"/>
        </w:rPr>
        <w:t>Резолю</w:t>
      </w:r>
      <w:r w:rsidR="0047017C">
        <w:rPr>
          <w:rFonts w:eastAsia="Times New Roman" w:cs="Times New Roman"/>
          <w:bCs/>
          <w:color w:val="auto"/>
          <w:kern w:val="3"/>
          <w:sz w:val="26"/>
          <w:szCs w:val="26"/>
          <w:lang w:val="ru-RU" w:eastAsia="ru-RU" w:bidi="ar-SA"/>
        </w:rPr>
        <w:t>тивная часть решения оглашена «</w:t>
      </w:r>
      <w:r w:rsidR="00CE788D">
        <w:rPr>
          <w:rFonts w:eastAsia="Times New Roman" w:cs="Times New Roman"/>
          <w:bCs/>
          <w:color w:val="auto"/>
          <w:kern w:val="3"/>
          <w:sz w:val="26"/>
          <w:szCs w:val="26"/>
          <w:lang w:val="ru-RU" w:eastAsia="ru-RU" w:bidi="ar-SA"/>
        </w:rPr>
        <w:t>1</w:t>
      </w:r>
      <w:r w:rsidR="0047017C">
        <w:rPr>
          <w:rFonts w:eastAsia="Times New Roman" w:cs="Times New Roman"/>
          <w:bCs/>
          <w:color w:val="auto"/>
          <w:kern w:val="3"/>
          <w:sz w:val="26"/>
          <w:szCs w:val="26"/>
          <w:lang w:val="ru-RU" w:eastAsia="ru-RU" w:bidi="ar-SA"/>
        </w:rPr>
        <w:t>5</w:t>
      </w:r>
      <w:r w:rsidRPr="006F3893">
        <w:rPr>
          <w:rFonts w:eastAsia="Times New Roman" w:cs="Times New Roman"/>
          <w:bCs/>
          <w:color w:val="auto"/>
          <w:kern w:val="3"/>
          <w:sz w:val="26"/>
          <w:szCs w:val="26"/>
          <w:lang w:val="ru-RU" w:eastAsia="ru-RU" w:bidi="ar-SA"/>
        </w:rPr>
        <w:t xml:space="preserve">» </w:t>
      </w:r>
      <w:r w:rsidR="0074255F">
        <w:rPr>
          <w:rFonts w:eastAsia="Times New Roman" w:cs="Times New Roman"/>
          <w:bCs/>
          <w:color w:val="auto"/>
          <w:kern w:val="3"/>
          <w:sz w:val="26"/>
          <w:szCs w:val="26"/>
          <w:lang w:val="ru-RU" w:eastAsia="ru-RU" w:bidi="ar-SA"/>
        </w:rPr>
        <w:t>августа</w:t>
      </w:r>
      <w:r w:rsidRPr="006F3893">
        <w:rPr>
          <w:rFonts w:eastAsia="Times New Roman" w:cs="Times New Roman"/>
          <w:bCs/>
          <w:color w:val="auto"/>
          <w:kern w:val="3"/>
          <w:sz w:val="26"/>
          <w:szCs w:val="26"/>
          <w:lang w:val="ru-RU" w:eastAsia="ru-RU" w:bidi="ar-SA"/>
        </w:rPr>
        <w:t xml:space="preserve"> 2012 года                          </w:t>
      </w:r>
    </w:p>
    <w:p w:rsidR="006F3893" w:rsidRPr="006F3893" w:rsidRDefault="006F3893" w:rsidP="006F3893">
      <w:pPr>
        <w:autoSpaceDN w:val="0"/>
        <w:spacing w:line="200" w:lineRule="atLeast"/>
        <w:jc w:val="both"/>
        <w:textAlignment w:val="baseline"/>
        <w:rPr>
          <w:rFonts w:eastAsia="Times New Roman" w:cs="Times New Roman"/>
          <w:bCs/>
          <w:color w:val="auto"/>
          <w:kern w:val="3"/>
          <w:sz w:val="26"/>
          <w:szCs w:val="26"/>
          <w:lang w:val="ru-RU" w:eastAsia="ru-RU" w:bidi="ar-SA"/>
        </w:rPr>
      </w:pPr>
      <w:r w:rsidRPr="006F3893">
        <w:rPr>
          <w:rFonts w:eastAsia="Times New Roman" w:cs="Times New Roman"/>
          <w:bCs/>
          <w:color w:val="auto"/>
          <w:kern w:val="3"/>
          <w:sz w:val="26"/>
          <w:szCs w:val="26"/>
          <w:lang w:val="ru-RU" w:eastAsia="ru-RU" w:bidi="ar-SA"/>
        </w:rPr>
        <w:t>В полн</w:t>
      </w:r>
      <w:r w:rsidR="00BE6A1E">
        <w:rPr>
          <w:rFonts w:eastAsia="Times New Roman" w:cs="Times New Roman"/>
          <w:bCs/>
          <w:color w:val="auto"/>
          <w:kern w:val="3"/>
          <w:sz w:val="26"/>
          <w:szCs w:val="26"/>
          <w:lang w:val="ru-RU" w:eastAsia="ru-RU" w:bidi="ar-SA"/>
        </w:rPr>
        <w:t>ом объеме решение изготовлено «05</w:t>
      </w:r>
      <w:r>
        <w:rPr>
          <w:rFonts w:eastAsia="Times New Roman" w:cs="Times New Roman"/>
          <w:bCs/>
          <w:color w:val="auto"/>
          <w:kern w:val="3"/>
          <w:sz w:val="26"/>
          <w:szCs w:val="26"/>
          <w:lang w:val="ru-RU" w:eastAsia="ru-RU" w:bidi="ar-SA"/>
        </w:rPr>
        <w:t>»</w:t>
      </w:r>
      <w:r w:rsidR="0059673B">
        <w:rPr>
          <w:rFonts w:eastAsia="Times New Roman" w:cs="Times New Roman"/>
          <w:bCs/>
          <w:color w:val="auto"/>
          <w:kern w:val="3"/>
          <w:sz w:val="26"/>
          <w:szCs w:val="26"/>
          <w:lang w:val="ru-RU" w:eastAsia="ru-RU" w:bidi="ar-SA"/>
        </w:rPr>
        <w:t xml:space="preserve"> сентября </w:t>
      </w:r>
      <w:r w:rsidRPr="006F3893">
        <w:rPr>
          <w:rFonts w:eastAsia="Times New Roman" w:cs="Times New Roman"/>
          <w:bCs/>
          <w:color w:val="auto"/>
          <w:kern w:val="3"/>
          <w:sz w:val="26"/>
          <w:szCs w:val="26"/>
          <w:lang w:val="ru-RU" w:eastAsia="ru-RU" w:bidi="ar-SA"/>
        </w:rPr>
        <w:t xml:space="preserve">2012 года       </w:t>
      </w:r>
      <w:r w:rsidRPr="006F3893">
        <w:rPr>
          <w:rFonts w:eastAsia="Times New Roman" w:cs="Times New Roman"/>
          <w:bCs/>
          <w:color w:val="auto"/>
          <w:kern w:val="3"/>
          <w:sz w:val="26"/>
          <w:szCs w:val="26"/>
          <w:lang w:val="ru-RU" w:eastAsia="ru-RU" w:bidi="ar-SA"/>
        </w:rPr>
        <w:tab/>
      </w:r>
      <w:r w:rsidRPr="006F3893">
        <w:rPr>
          <w:rFonts w:eastAsia="Times New Roman" w:cs="Times New Roman"/>
          <w:bCs/>
          <w:color w:val="auto"/>
          <w:kern w:val="3"/>
          <w:sz w:val="26"/>
          <w:szCs w:val="26"/>
          <w:lang w:val="ru-RU" w:eastAsia="ru-RU" w:bidi="ar-SA"/>
        </w:rPr>
        <w:tab/>
      </w:r>
    </w:p>
    <w:p w:rsidR="006F3893" w:rsidRPr="006F3893" w:rsidRDefault="006F3893" w:rsidP="006F3893">
      <w:pPr>
        <w:autoSpaceDN w:val="0"/>
        <w:spacing w:line="200" w:lineRule="atLeast"/>
        <w:jc w:val="both"/>
        <w:textAlignment w:val="baseline"/>
        <w:rPr>
          <w:rFonts w:ascii="Arial" w:hAnsi="Arial"/>
          <w:color w:val="auto"/>
          <w:kern w:val="3"/>
          <w:lang w:val="ru-RU" w:eastAsia="ru-RU" w:bidi="ar-SA"/>
        </w:rPr>
      </w:pPr>
      <w:r w:rsidRPr="006F3893">
        <w:rPr>
          <w:rFonts w:eastAsia="Times New Roman" w:cs="Times New Roman"/>
          <w:bCs/>
          <w:color w:val="auto"/>
          <w:kern w:val="3"/>
          <w:sz w:val="26"/>
          <w:szCs w:val="26"/>
          <w:lang w:val="ru-RU" w:eastAsia="ru-RU" w:bidi="ar-SA"/>
        </w:rPr>
        <w:t xml:space="preserve">                                                                        </w:t>
      </w:r>
      <w:r>
        <w:rPr>
          <w:rFonts w:eastAsia="Times New Roman" w:cs="Times New Roman"/>
          <w:bCs/>
          <w:color w:val="auto"/>
          <w:kern w:val="3"/>
          <w:sz w:val="26"/>
          <w:szCs w:val="26"/>
          <w:lang w:val="ru-RU" w:eastAsia="ru-RU" w:bidi="ar-SA"/>
        </w:rPr>
        <w:t xml:space="preserve">                            </w:t>
      </w:r>
      <w:r w:rsidRPr="006F3893">
        <w:rPr>
          <w:rFonts w:eastAsia="Times New Roman" w:cs="Times New Roman"/>
          <w:bCs/>
          <w:color w:val="auto"/>
          <w:kern w:val="3"/>
          <w:sz w:val="26"/>
          <w:szCs w:val="26"/>
          <w:lang w:val="ru-RU" w:eastAsia="ru-RU" w:bidi="ar-SA"/>
        </w:rPr>
        <w:t>г. Челябинск,</w:t>
      </w:r>
      <w:r w:rsidRPr="006F3893">
        <w:rPr>
          <w:rFonts w:eastAsia="Times New Roman" w:cs="Times New Roman"/>
          <w:color w:val="auto"/>
          <w:kern w:val="3"/>
          <w:sz w:val="26"/>
          <w:szCs w:val="26"/>
          <w:lang w:val="ru-RU" w:eastAsia="ru-RU" w:bidi="ar-SA"/>
        </w:rPr>
        <w:t xml:space="preserve"> пр. Ленина, 59</w:t>
      </w:r>
    </w:p>
    <w:p w:rsidR="006F3893" w:rsidRPr="006F3893" w:rsidRDefault="006F3893" w:rsidP="006F3893">
      <w:pPr>
        <w:autoSpaceDN w:val="0"/>
        <w:spacing w:line="200" w:lineRule="atLeast"/>
        <w:jc w:val="both"/>
        <w:textAlignment w:val="baseline"/>
        <w:rPr>
          <w:rFonts w:eastAsia="Times New Roman" w:cs="Times New Roman"/>
          <w:color w:val="auto"/>
          <w:kern w:val="3"/>
          <w:sz w:val="26"/>
          <w:szCs w:val="26"/>
          <w:lang w:val="ru-RU" w:eastAsia="ru-RU" w:bidi="ar-SA"/>
        </w:rPr>
      </w:pPr>
    </w:p>
    <w:p w:rsidR="006F3893" w:rsidRPr="006F3893" w:rsidRDefault="006F3893" w:rsidP="006F3893">
      <w:pPr>
        <w:autoSpaceDN w:val="0"/>
        <w:ind w:firstLine="680"/>
        <w:jc w:val="both"/>
        <w:textAlignment w:val="baseline"/>
        <w:rPr>
          <w:rFonts w:eastAsia="Times New Roman" w:cs="Times New Roman"/>
          <w:color w:val="auto"/>
          <w:kern w:val="3"/>
          <w:sz w:val="26"/>
          <w:szCs w:val="26"/>
          <w:lang w:val="ru-RU" w:eastAsia="ru-RU" w:bidi="ar-SA"/>
        </w:rPr>
      </w:pPr>
      <w:r w:rsidRPr="006F3893">
        <w:rPr>
          <w:rFonts w:eastAsia="Times New Roman" w:cs="Times New Roman"/>
          <w:color w:val="auto"/>
          <w:kern w:val="3"/>
          <w:sz w:val="26"/>
          <w:szCs w:val="26"/>
          <w:lang w:val="ru-RU" w:eastAsia="ru-RU" w:bidi="ar-SA"/>
        </w:rPr>
        <w:t>Комиссия Управления Федеральной антимонопольной службы по Челябинской области по рассмотрению дела о нарушении антимонопольного законодательства (далее – Комиссия) в составе:</w:t>
      </w: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2469"/>
        <w:gridCol w:w="344"/>
        <w:gridCol w:w="4983"/>
      </w:tblGrid>
      <w:tr w:rsidR="006F3893" w:rsidRPr="00BE6A1E" w:rsidTr="0047017C">
        <w:trPr>
          <w:trHeight w:val="60"/>
        </w:trPr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893" w:rsidRPr="006F3893" w:rsidRDefault="006F3893" w:rsidP="006F3893">
            <w:pPr>
              <w:autoSpaceDN w:val="0"/>
              <w:snapToGrid w:val="0"/>
              <w:spacing w:line="200" w:lineRule="atLeast"/>
              <w:jc w:val="both"/>
              <w:textAlignment w:val="baseline"/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</w:pPr>
            <w:r w:rsidRPr="006F3893"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  <w:t>Председателя</w:t>
            </w:r>
          </w:p>
          <w:p w:rsidR="006F3893" w:rsidRPr="006F3893" w:rsidRDefault="006F3893" w:rsidP="006F3893">
            <w:pPr>
              <w:autoSpaceDN w:val="0"/>
              <w:spacing w:line="200" w:lineRule="atLeast"/>
              <w:jc w:val="both"/>
              <w:textAlignment w:val="baseline"/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</w:pPr>
            <w:r w:rsidRPr="006F3893"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  <w:t>Комиссии:</w:t>
            </w:r>
          </w:p>
        </w:tc>
        <w:tc>
          <w:tcPr>
            <w:tcW w:w="2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893" w:rsidRPr="006F3893" w:rsidRDefault="0047017C" w:rsidP="006F3893">
            <w:pPr>
              <w:autoSpaceDN w:val="0"/>
              <w:snapToGrid w:val="0"/>
              <w:spacing w:before="120" w:line="200" w:lineRule="atLeast"/>
              <w:jc w:val="both"/>
              <w:textAlignment w:val="baseline"/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  <w:t>Сапрыкиной Н.В.</w:t>
            </w:r>
          </w:p>
        </w:tc>
        <w:tc>
          <w:tcPr>
            <w:tcW w:w="3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893" w:rsidRPr="006F3893" w:rsidRDefault="006F3893" w:rsidP="006F3893">
            <w:pPr>
              <w:autoSpaceDN w:val="0"/>
              <w:snapToGrid w:val="0"/>
              <w:spacing w:before="120" w:line="200" w:lineRule="atLeast"/>
              <w:jc w:val="both"/>
              <w:textAlignment w:val="baseline"/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</w:pPr>
            <w:r w:rsidRPr="006F3893"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4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893" w:rsidRPr="006F3893" w:rsidRDefault="0047017C" w:rsidP="0047017C">
            <w:pPr>
              <w:autoSpaceDN w:val="0"/>
              <w:snapToGrid w:val="0"/>
              <w:spacing w:before="120" w:line="200" w:lineRule="atLeast"/>
              <w:jc w:val="both"/>
              <w:textAlignment w:val="baseline"/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  <w:t xml:space="preserve">заместителя </w:t>
            </w:r>
            <w:r w:rsidR="006F3893" w:rsidRPr="006F3893"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  <w:t>руководителя Челябинского</w:t>
            </w:r>
            <w:r w:rsidR="00F120BF"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  <w:t xml:space="preserve"> </w:t>
            </w:r>
            <w:r w:rsidR="006F3893" w:rsidRPr="006F3893"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  <w:t>УФАС России;</w:t>
            </w:r>
          </w:p>
        </w:tc>
      </w:tr>
      <w:tr w:rsidR="006F3893" w:rsidRPr="00BE6A1E" w:rsidTr="0047017C">
        <w:trPr>
          <w:trHeight w:val="60"/>
        </w:trPr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893" w:rsidRPr="006F3893" w:rsidRDefault="006F3893" w:rsidP="006F3893">
            <w:pPr>
              <w:autoSpaceDN w:val="0"/>
              <w:snapToGrid w:val="0"/>
              <w:spacing w:before="120" w:line="200" w:lineRule="atLeast"/>
              <w:jc w:val="both"/>
              <w:textAlignment w:val="baseline"/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</w:pPr>
            <w:r w:rsidRPr="006F3893"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  <w:t>Членов Комиссии:</w:t>
            </w:r>
          </w:p>
        </w:tc>
        <w:tc>
          <w:tcPr>
            <w:tcW w:w="2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893" w:rsidRPr="006F3893" w:rsidRDefault="0047017C" w:rsidP="006F3893">
            <w:pPr>
              <w:autoSpaceDN w:val="0"/>
              <w:snapToGrid w:val="0"/>
              <w:spacing w:before="120" w:line="200" w:lineRule="atLeast"/>
              <w:jc w:val="both"/>
              <w:textAlignment w:val="baseline"/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</w:pPr>
            <w:r w:rsidRPr="006F3893"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  <w:t>Гареева В.М.</w:t>
            </w:r>
          </w:p>
        </w:tc>
        <w:tc>
          <w:tcPr>
            <w:tcW w:w="3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893" w:rsidRPr="006F3893" w:rsidRDefault="006F3893" w:rsidP="006F3893">
            <w:pPr>
              <w:autoSpaceDN w:val="0"/>
              <w:snapToGrid w:val="0"/>
              <w:spacing w:before="120" w:line="200" w:lineRule="atLeast"/>
              <w:jc w:val="both"/>
              <w:textAlignment w:val="baseline"/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</w:pPr>
            <w:r w:rsidRPr="006F3893"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4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893" w:rsidRPr="006F3893" w:rsidRDefault="0047017C" w:rsidP="006F3893">
            <w:pPr>
              <w:autoSpaceDN w:val="0"/>
              <w:snapToGrid w:val="0"/>
              <w:spacing w:before="120" w:line="200" w:lineRule="atLeast"/>
              <w:jc w:val="both"/>
              <w:textAlignment w:val="baseline"/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</w:pPr>
            <w:r w:rsidRPr="006F3893"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  <w:t>ведущего специалиста-эксперта отдела контроля торгов и органов власти Челябинского УФАС России</w:t>
            </w:r>
            <w:r w:rsidR="006F3893" w:rsidRPr="006F3893"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  <w:t>;</w:t>
            </w:r>
          </w:p>
        </w:tc>
      </w:tr>
      <w:tr w:rsidR="006F3893" w:rsidRPr="00BE6A1E" w:rsidTr="0047017C">
        <w:trPr>
          <w:trHeight w:val="60"/>
        </w:trPr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893" w:rsidRPr="006F3893" w:rsidRDefault="006F3893" w:rsidP="006F3893">
            <w:pPr>
              <w:autoSpaceDN w:val="0"/>
              <w:snapToGrid w:val="0"/>
              <w:spacing w:line="200" w:lineRule="atLeast"/>
              <w:jc w:val="both"/>
              <w:textAlignment w:val="baseline"/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893" w:rsidRPr="006F3893" w:rsidRDefault="0047017C" w:rsidP="006F3893">
            <w:pPr>
              <w:autoSpaceDN w:val="0"/>
              <w:snapToGrid w:val="0"/>
              <w:spacing w:line="200" w:lineRule="atLeast"/>
              <w:jc w:val="both"/>
              <w:textAlignment w:val="baseline"/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  <w:t>Подивиловой</w:t>
            </w:r>
            <w:proofErr w:type="spellEnd"/>
            <w:r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  <w:t xml:space="preserve"> Ю.В.</w:t>
            </w:r>
          </w:p>
        </w:tc>
        <w:tc>
          <w:tcPr>
            <w:tcW w:w="3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893" w:rsidRPr="006F3893" w:rsidRDefault="006F3893" w:rsidP="006F3893">
            <w:pPr>
              <w:autoSpaceDN w:val="0"/>
              <w:snapToGrid w:val="0"/>
              <w:spacing w:line="200" w:lineRule="atLeast"/>
              <w:jc w:val="both"/>
              <w:textAlignment w:val="baseline"/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</w:pPr>
            <w:r w:rsidRPr="006F3893"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4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893" w:rsidRPr="006F3893" w:rsidRDefault="0047017C" w:rsidP="006F3893">
            <w:pPr>
              <w:autoSpaceDN w:val="0"/>
              <w:snapToGrid w:val="0"/>
              <w:spacing w:line="200" w:lineRule="atLeast"/>
              <w:jc w:val="both"/>
              <w:textAlignment w:val="baseline"/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</w:pPr>
            <w:r w:rsidRPr="0047017C"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  <w:t>специалиста-эксперта отдела контроля торгов и органов власти Челябинского УФАС России</w:t>
            </w:r>
            <w:r w:rsidR="006F3893" w:rsidRPr="006F3893">
              <w:rPr>
                <w:rFonts w:eastAsia="Times New Roman" w:cs="Times New Roman"/>
                <w:kern w:val="3"/>
                <w:sz w:val="26"/>
                <w:szCs w:val="26"/>
                <w:lang w:val="ru-RU" w:eastAsia="ru-RU" w:bidi="ar-SA"/>
              </w:rPr>
              <w:t>,</w:t>
            </w:r>
          </w:p>
        </w:tc>
      </w:tr>
    </w:tbl>
    <w:p w:rsidR="006F3893" w:rsidRPr="006F3893" w:rsidRDefault="00CE788D" w:rsidP="006F3893">
      <w:pPr>
        <w:autoSpaceDN w:val="0"/>
        <w:jc w:val="both"/>
        <w:textAlignment w:val="baseline"/>
        <w:rPr>
          <w:rFonts w:ascii="Arial" w:hAnsi="Arial"/>
          <w:color w:val="auto"/>
          <w:kern w:val="3"/>
          <w:lang w:val="ru-RU" w:eastAsia="ru-RU" w:bidi="ar-SA"/>
        </w:rPr>
      </w:pPr>
      <w:r>
        <w:rPr>
          <w:color w:val="auto"/>
          <w:kern w:val="3"/>
          <w:sz w:val="26"/>
          <w:szCs w:val="26"/>
          <w:lang w:val="ru-RU" w:eastAsia="ru-RU" w:bidi="ar-SA"/>
        </w:rPr>
        <w:t xml:space="preserve">рассмотрев дело № </w:t>
      </w:r>
      <w:r w:rsidR="0047017C">
        <w:rPr>
          <w:color w:val="auto"/>
          <w:kern w:val="3"/>
          <w:sz w:val="26"/>
          <w:szCs w:val="26"/>
          <w:lang w:val="ru-RU" w:eastAsia="ru-RU" w:bidi="ar-SA"/>
        </w:rPr>
        <w:t>42</w:t>
      </w:r>
      <w:r w:rsidR="006F3893">
        <w:rPr>
          <w:color w:val="auto"/>
          <w:kern w:val="3"/>
          <w:sz w:val="26"/>
          <w:szCs w:val="26"/>
          <w:lang w:val="ru-RU" w:eastAsia="ru-RU" w:bidi="ar-SA"/>
        </w:rPr>
        <w:t xml:space="preserve">-07/12 по признакам нарушения </w:t>
      </w:r>
      <w:r w:rsidR="0047017C" w:rsidRPr="0047017C">
        <w:rPr>
          <w:color w:val="auto"/>
          <w:kern w:val="3"/>
          <w:sz w:val="26"/>
          <w:szCs w:val="26"/>
          <w:lang w:val="ru-RU" w:eastAsia="ru-RU" w:bidi="ar-SA"/>
        </w:rPr>
        <w:t>Совет</w:t>
      </w:r>
      <w:r w:rsidR="0047017C">
        <w:rPr>
          <w:color w:val="auto"/>
          <w:kern w:val="3"/>
          <w:sz w:val="26"/>
          <w:szCs w:val="26"/>
          <w:lang w:val="ru-RU" w:eastAsia="ru-RU" w:bidi="ar-SA"/>
        </w:rPr>
        <w:t>ом</w:t>
      </w:r>
      <w:r w:rsidR="0047017C" w:rsidRPr="0047017C">
        <w:rPr>
          <w:color w:val="auto"/>
          <w:kern w:val="3"/>
          <w:sz w:val="26"/>
          <w:szCs w:val="26"/>
          <w:lang w:val="ru-RU" w:eastAsia="ru-RU" w:bidi="ar-SA"/>
        </w:rPr>
        <w:t xml:space="preserve"> депутатов</w:t>
      </w:r>
      <w:r w:rsidR="0074255F" w:rsidRPr="0074255F">
        <w:rPr>
          <w:color w:val="auto"/>
          <w:kern w:val="3"/>
          <w:sz w:val="26"/>
          <w:szCs w:val="26"/>
          <w:lang w:val="ru-RU" w:eastAsia="ru-RU" w:bidi="ar-SA"/>
        </w:rPr>
        <w:t xml:space="preserve"> Саткинского городского поселения</w:t>
      </w:r>
      <w:r w:rsidR="006F3893" w:rsidRPr="006F3893">
        <w:rPr>
          <w:rFonts w:eastAsia="Times New Roman" w:cs="Times New Roman"/>
          <w:bCs/>
          <w:color w:val="auto"/>
          <w:kern w:val="3"/>
          <w:sz w:val="26"/>
          <w:szCs w:val="26"/>
          <w:lang w:val="ru-RU" w:eastAsia="ru-RU" w:bidi="ar-SA"/>
        </w:rPr>
        <w:t xml:space="preserve"> (</w:t>
      </w:r>
      <w:r w:rsidR="0074255F" w:rsidRPr="0074255F">
        <w:rPr>
          <w:rFonts w:eastAsia="Times New Roman"/>
          <w:color w:val="auto"/>
          <w:kern w:val="3"/>
          <w:sz w:val="26"/>
          <w:szCs w:val="26"/>
          <w:lang w:val="ru-RU" w:eastAsia="ar-SA" w:bidi="ar-SA"/>
        </w:rPr>
        <w:t>456910</w:t>
      </w:r>
      <w:r w:rsidR="0074255F">
        <w:rPr>
          <w:rFonts w:eastAsia="Times New Roman"/>
          <w:color w:val="auto"/>
          <w:kern w:val="3"/>
          <w:sz w:val="26"/>
          <w:szCs w:val="26"/>
          <w:lang w:val="ru-RU" w:eastAsia="ar-SA" w:bidi="ar-SA"/>
        </w:rPr>
        <w:t xml:space="preserve">, </w:t>
      </w:r>
      <w:r w:rsidR="0074255F" w:rsidRPr="0074255F">
        <w:rPr>
          <w:rFonts w:eastAsia="Times New Roman"/>
          <w:color w:val="auto"/>
          <w:kern w:val="3"/>
          <w:sz w:val="26"/>
          <w:szCs w:val="26"/>
          <w:lang w:val="ru-RU" w:eastAsia="ar-SA" w:bidi="ar-SA"/>
        </w:rPr>
        <w:t xml:space="preserve">ул. Металлургов, 2, г. </w:t>
      </w:r>
      <w:proofErr w:type="spellStart"/>
      <w:r w:rsidR="0074255F" w:rsidRPr="0074255F">
        <w:rPr>
          <w:rFonts w:eastAsia="Times New Roman"/>
          <w:color w:val="auto"/>
          <w:kern w:val="3"/>
          <w:sz w:val="26"/>
          <w:szCs w:val="26"/>
          <w:lang w:val="ru-RU" w:eastAsia="ar-SA" w:bidi="ar-SA"/>
        </w:rPr>
        <w:t>Сатка</w:t>
      </w:r>
      <w:proofErr w:type="spellEnd"/>
      <w:r w:rsidR="0074255F" w:rsidRPr="0074255F">
        <w:rPr>
          <w:rFonts w:eastAsia="Times New Roman"/>
          <w:color w:val="auto"/>
          <w:kern w:val="3"/>
          <w:sz w:val="26"/>
          <w:szCs w:val="26"/>
          <w:lang w:val="ru-RU" w:eastAsia="ar-SA" w:bidi="ar-SA"/>
        </w:rPr>
        <w:t>, Челябинская область</w:t>
      </w:r>
      <w:r w:rsidR="0074255F">
        <w:rPr>
          <w:rFonts w:eastAsia="Times New Roman" w:cs="Times New Roman"/>
          <w:bCs/>
          <w:color w:val="auto"/>
          <w:kern w:val="3"/>
          <w:sz w:val="26"/>
          <w:szCs w:val="26"/>
          <w:lang w:val="ru-RU" w:eastAsia="ru-RU" w:bidi="ar-SA"/>
        </w:rPr>
        <w:t>) част</w:t>
      </w:r>
      <w:r w:rsidR="0047017C">
        <w:rPr>
          <w:rFonts w:eastAsia="Times New Roman" w:cs="Times New Roman"/>
          <w:bCs/>
          <w:color w:val="auto"/>
          <w:kern w:val="3"/>
          <w:sz w:val="26"/>
          <w:szCs w:val="26"/>
          <w:lang w:val="ru-RU" w:eastAsia="ru-RU" w:bidi="ar-SA"/>
        </w:rPr>
        <w:t xml:space="preserve">ей 1 и </w:t>
      </w:r>
      <w:r w:rsidR="0074255F">
        <w:rPr>
          <w:rFonts w:eastAsia="Times New Roman" w:cs="Times New Roman"/>
          <w:bCs/>
          <w:color w:val="auto"/>
          <w:kern w:val="3"/>
          <w:sz w:val="26"/>
          <w:szCs w:val="26"/>
          <w:lang w:val="ru-RU" w:eastAsia="ru-RU" w:bidi="ar-SA"/>
        </w:rPr>
        <w:t>3</w:t>
      </w:r>
      <w:r w:rsidR="006F3893" w:rsidRPr="006F3893">
        <w:rPr>
          <w:rFonts w:eastAsia="Times New Roman" w:cs="Times New Roman"/>
          <w:bCs/>
          <w:color w:val="auto"/>
          <w:kern w:val="3"/>
          <w:sz w:val="26"/>
          <w:szCs w:val="26"/>
          <w:lang w:val="ru-RU" w:eastAsia="ru-RU" w:bidi="ar-SA"/>
        </w:rPr>
        <w:t xml:space="preserve"> статьи 15 </w:t>
      </w:r>
      <w:r w:rsidR="006F3893" w:rsidRPr="006F3893">
        <w:rPr>
          <w:rFonts w:eastAsia="Courier New" w:cs="Courier New"/>
          <w:kern w:val="3"/>
          <w:sz w:val="26"/>
          <w:szCs w:val="26"/>
          <w:lang w:val="ru-RU"/>
        </w:rPr>
        <w:t>Федерального закона от 26.07.2006 года № 135-ФЗ</w:t>
      </w:r>
      <w:r w:rsidR="006F3893" w:rsidRPr="006F3893">
        <w:rPr>
          <w:rFonts w:eastAsia="Times New Roman" w:cs="Times New Roman"/>
          <w:bCs/>
          <w:color w:val="auto"/>
          <w:kern w:val="3"/>
          <w:sz w:val="26"/>
          <w:szCs w:val="26"/>
          <w:lang w:val="ru-RU" w:eastAsia="ru-RU" w:bidi="ar-SA"/>
        </w:rPr>
        <w:t xml:space="preserve"> </w:t>
      </w:r>
      <w:r w:rsidR="006F3893" w:rsidRPr="006F3893">
        <w:rPr>
          <w:rFonts w:eastAsia="Courier New" w:cs="Courier New"/>
          <w:kern w:val="3"/>
          <w:sz w:val="26"/>
          <w:szCs w:val="26"/>
          <w:lang w:val="ru-RU"/>
        </w:rPr>
        <w:t>«О защите конкуренции» (далее – Закон о защите конкуренции)</w:t>
      </w:r>
      <w:r w:rsidR="006F3893" w:rsidRPr="006F3893">
        <w:rPr>
          <w:rFonts w:eastAsia="Times New Roman" w:cs="Times New Roman"/>
          <w:bCs/>
          <w:color w:val="auto"/>
          <w:kern w:val="3"/>
          <w:sz w:val="26"/>
          <w:szCs w:val="26"/>
          <w:lang w:val="ru-RU" w:eastAsia="ru-RU" w:bidi="ar-SA"/>
        </w:rPr>
        <w:t>,</w:t>
      </w:r>
    </w:p>
    <w:p w:rsidR="006F3893" w:rsidRPr="006F3893" w:rsidRDefault="006F3893" w:rsidP="006F3893">
      <w:pPr>
        <w:autoSpaceDN w:val="0"/>
        <w:jc w:val="both"/>
        <w:textAlignment w:val="baseline"/>
        <w:rPr>
          <w:color w:val="auto"/>
          <w:kern w:val="3"/>
          <w:sz w:val="26"/>
          <w:szCs w:val="26"/>
          <w:lang w:val="ru-RU" w:eastAsia="ru-RU" w:bidi="ar-SA"/>
        </w:rPr>
      </w:pPr>
    </w:p>
    <w:p w:rsidR="006F3893" w:rsidRPr="006F3893" w:rsidRDefault="006F3893" w:rsidP="006F3893">
      <w:pPr>
        <w:autoSpaceDN w:val="0"/>
        <w:jc w:val="center"/>
        <w:textAlignment w:val="baseline"/>
        <w:rPr>
          <w:rFonts w:eastAsia="Times New Roman" w:cs="Times New Roman"/>
          <w:b/>
          <w:color w:val="auto"/>
          <w:spacing w:val="60"/>
          <w:kern w:val="3"/>
          <w:sz w:val="26"/>
          <w:szCs w:val="26"/>
          <w:lang w:val="ru-RU" w:eastAsia="ru-RU" w:bidi="ar-SA"/>
        </w:rPr>
      </w:pPr>
      <w:r w:rsidRPr="006F3893">
        <w:rPr>
          <w:rFonts w:eastAsia="Times New Roman" w:cs="Times New Roman"/>
          <w:b/>
          <w:color w:val="auto"/>
          <w:spacing w:val="60"/>
          <w:kern w:val="3"/>
          <w:sz w:val="26"/>
          <w:szCs w:val="26"/>
          <w:lang w:val="ru-RU" w:eastAsia="ru-RU" w:bidi="ar-SA"/>
        </w:rPr>
        <w:t>УСТАНОВИЛА:</w:t>
      </w:r>
    </w:p>
    <w:p w:rsidR="006F3893" w:rsidRPr="006F3893" w:rsidRDefault="006F3893" w:rsidP="006F3893">
      <w:pPr>
        <w:autoSpaceDN w:val="0"/>
        <w:jc w:val="center"/>
        <w:textAlignment w:val="baseline"/>
        <w:rPr>
          <w:rFonts w:eastAsia="Times New Roman" w:cs="Times New Roman"/>
          <w:b/>
          <w:color w:val="auto"/>
          <w:spacing w:val="60"/>
          <w:kern w:val="3"/>
          <w:sz w:val="26"/>
          <w:szCs w:val="26"/>
          <w:lang w:val="ru-RU" w:eastAsia="ru-RU" w:bidi="ar-SA"/>
        </w:rPr>
      </w:pPr>
    </w:p>
    <w:p w:rsidR="00AC5BF1" w:rsidRDefault="0074255F" w:rsidP="00DA7F32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 w:rsidRPr="0074255F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Управление</w:t>
      </w:r>
      <w:r w:rsidR="00DA7F32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м</w:t>
      </w:r>
      <w:r w:rsidRPr="0074255F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 Федеральной антимонопольной службы по Челябинской области (д</w:t>
      </w:r>
      <w:r w:rsidR="00DA7F32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алее – Челябинское УФАС России)</w:t>
      </w:r>
      <w:r w:rsidR="00F80E6B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 в ходе рассмотрения дела № 38-07/12 о нарушении антимонопольного законодательства в отношении Администрации</w:t>
      </w:r>
      <w:r w:rsidR="00F80E6B" w:rsidRPr="00F80E6B">
        <w:rPr>
          <w:lang w:val="ru-RU"/>
        </w:rPr>
        <w:t xml:space="preserve"> </w:t>
      </w:r>
      <w:r w:rsidR="00F80E6B" w:rsidRPr="00F80E6B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Саткинского городского поселения</w:t>
      </w:r>
      <w:r w:rsidR="00F80E6B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 установлено, что отдельные нормы</w:t>
      </w:r>
      <w:r w:rsidR="00F80E6B" w:rsidRPr="00F80E6B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 </w:t>
      </w:r>
      <w:r w:rsidR="00F80E6B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Положения</w:t>
      </w:r>
      <w:r w:rsidR="00F80E6B" w:rsidRPr="00DA7F32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 об организации ритуальных услуг и содержании мест захоронения (утверждено Решением Совета депутатов Саткинского городского поселения Челябинской области от 16.12.2005 № 56/11)</w:t>
      </w:r>
      <w:r w:rsidR="00F80E6B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 содержат признаки нарушения антимонопольного законодательства.</w:t>
      </w:r>
    </w:p>
    <w:p w:rsidR="00961A76" w:rsidRDefault="00F80E6B" w:rsidP="00CE22F3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 w:rsidRPr="00F80E6B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lastRenderedPageBreak/>
        <w:t xml:space="preserve">На основании изложенных фактов </w:t>
      </w:r>
      <w:proofErr w:type="gramStart"/>
      <w:r w:rsidRPr="00F80E6B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Челябинским</w:t>
      </w:r>
      <w:proofErr w:type="gramEnd"/>
      <w:r w:rsidRPr="00F80E6B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 УФАС России возбуждено дело о нарушении антимонопольного законодательства.</w:t>
      </w:r>
    </w:p>
    <w:p w:rsidR="00F80E6B" w:rsidRDefault="00F80E6B" w:rsidP="00CE22F3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</w:p>
    <w:p w:rsidR="0047017C" w:rsidRDefault="0047017C" w:rsidP="00CE788D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Советом депутатов </w:t>
      </w:r>
      <w:r w:rsidR="0074255F" w:rsidRPr="0074255F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Саткинского городского поселения</w:t>
      </w:r>
      <w:r w:rsidR="00FE6672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 предст</w:t>
      </w: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авлены письменные пояснения от 06</w:t>
      </w:r>
      <w:r w:rsidR="00FE6672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.0</w:t>
      </w: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8.2012 исх. № 77</w:t>
      </w:r>
      <w:r w:rsidR="007E3717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, в которых отмечено следующее.</w:t>
      </w:r>
    </w:p>
    <w:p w:rsidR="007C3136" w:rsidRDefault="007C3136" w:rsidP="007C3136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Во исполнение требований </w:t>
      </w:r>
      <w:r w:rsidR="0047017C" w:rsidRPr="007C3136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Федерального закона от 06.10.2003 № 131-ФЗ "Об общих принципах организации местного самоуправления в Российской Федерации"</w:t>
      </w: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 и в соответствии со статьей 29 </w:t>
      </w:r>
      <w:r w:rsidRPr="007C3136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Ф</w:t>
      </w: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едерального закона от 12.01.1996 №</w:t>
      </w:r>
      <w:r w:rsidRPr="007C3136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 8-ФЗ</w:t>
      </w: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 </w:t>
      </w:r>
      <w:r w:rsidRPr="007C3136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"О погребении и похоронном деле"</w:t>
      </w:r>
      <w:r w:rsidR="000525C3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 (далее – Закон о погребении) </w:t>
      </w: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на территории Саткинского городского поселения была создана специализированная служба МУП «</w:t>
      </w:r>
      <w:proofErr w:type="spellStart"/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КомРитСервис</w:t>
      </w:r>
      <w:proofErr w:type="spellEnd"/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»</w:t>
      </w:r>
      <w:r w:rsidR="000525C3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.</w:t>
      </w:r>
      <w:r w:rsidR="0047017C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 </w:t>
      </w:r>
      <w:r w:rsidR="0047017C" w:rsidRPr="0047017C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МУП «</w:t>
      </w:r>
      <w:proofErr w:type="spellStart"/>
      <w:r w:rsidR="0047017C" w:rsidRPr="0047017C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КомРитСервис</w:t>
      </w:r>
      <w:proofErr w:type="spellEnd"/>
      <w:r w:rsidR="0047017C" w:rsidRPr="0047017C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»</w:t>
      </w:r>
      <w:r w:rsidR="0047017C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 осуществляет </w:t>
      </w:r>
      <w:r w:rsidR="007E3717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погребение</w:t>
      </w:r>
      <w:r w:rsidR="0047017C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 умерших (погибших), не имеющих супруга, близких </w:t>
      </w:r>
      <w:r w:rsidR="007E3717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родственников</w:t>
      </w:r>
      <w:r w:rsidR="0047017C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, иных </w:t>
      </w:r>
      <w:r w:rsidR="007E3717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родственников</w:t>
      </w:r>
      <w:r w:rsidR="0047017C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 либо законного предс</w:t>
      </w:r>
      <w:r w:rsidR="007E3717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та</w:t>
      </w:r>
      <w:r w:rsidR="0047017C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вителя умершего.</w:t>
      </w:r>
    </w:p>
    <w:p w:rsidR="007E3717" w:rsidRDefault="007E3717" w:rsidP="007C3136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proofErr w:type="gramStart"/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Для упорядочения захоронений и наведения порядка на территории кладбища, а также учета всех захоронений в книге учета регистрации захоронений, с целью предотвращения самовольных захоронений в подпункте 1 пункта 7 статьи 2 Положения об организации </w:t>
      </w:r>
      <w:r w:rsidRPr="007E3717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ритуальных услуг и содержании мест захоронения</w:t>
      </w:r>
      <w:r w:rsidR="00F56343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 (утверждено </w:t>
      </w:r>
      <w:r w:rsidR="00F56343" w:rsidRPr="00F56343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Решением Совета депутатов Саткинского городского поселения Челябинской области от 16.12.2005 № 56/11</w:t>
      </w:r>
      <w:r w:rsidR="00F56343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)</w:t>
      </w: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 было предусмотрено, что специализированная служба вправе требовать</w:t>
      </w:r>
      <w:proofErr w:type="gramEnd"/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 своевременного информирования и согласования всех захоронений.</w:t>
      </w:r>
    </w:p>
    <w:p w:rsidR="007E3717" w:rsidRDefault="007E3717" w:rsidP="007C3136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proofErr w:type="gramStart"/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В соответствии с частью 1 статьи 12 </w:t>
      </w:r>
      <w:r w:rsidRPr="007E3717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Закон</w:t>
      </w: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а</w:t>
      </w:r>
      <w:r w:rsidRPr="007E3717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 о погребении</w:t>
      </w: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, </w:t>
      </w:r>
      <w:r w:rsidR="00F56343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п</w:t>
      </w:r>
      <w:r w:rsidRPr="007E3717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по</w:t>
      </w:r>
      <w:proofErr w:type="gramEnd"/>
      <w:r w:rsidRPr="007E3717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 вопросам похоронного дела в течение трех суток с момента установления причины смерти.</w:t>
      </w:r>
      <w:r w:rsidR="00F56343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 Таким образом, в подпункте 2 пункта 7 статьи 2 Положения было закреплено, что специализированная служба вправе производить захоронение согласно справке </w:t>
      </w:r>
      <w:proofErr w:type="spellStart"/>
      <w:r w:rsidR="00F56343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ЗАГСа</w:t>
      </w:r>
      <w:proofErr w:type="spellEnd"/>
      <w:r w:rsidR="00F56343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 в соответствии с планом кладбищ и занесением данного факта в журнал регистрации захоронений, а при форс-мажорных обстоятельствах разрешить захоронение по медицинским справкам с последующим предоставлением справки </w:t>
      </w:r>
      <w:proofErr w:type="spellStart"/>
      <w:r w:rsidR="00F56343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ЗАГСа</w:t>
      </w:r>
      <w:proofErr w:type="spellEnd"/>
      <w:r w:rsidR="00F56343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.</w:t>
      </w:r>
    </w:p>
    <w:p w:rsidR="00F56343" w:rsidRDefault="00F56343" w:rsidP="007C3136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Услуги, </w:t>
      </w:r>
      <w:r w:rsidR="0072515C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оказываемые</w:t>
      </w: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 специализированной службой по в</w:t>
      </w:r>
      <w:r w:rsidR="0072515C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о</w:t>
      </w: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просам похоронного дела при погребении </w:t>
      </w:r>
      <w:r w:rsidR="0072515C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невостребованных</w:t>
      </w: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 тел умерших и неопознанных трупов, включают:</w:t>
      </w:r>
    </w:p>
    <w:p w:rsidR="00F56343" w:rsidRDefault="00F56343" w:rsidP="007C3136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- </w:t>
      </w:r>
      <w:r w:rsidR="0072515C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оформление документов</w:t>
      </w: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, необходимых для погребения;</w:t>
      </w:r>
    </w:p>
    <w:p w:rsidR="00F56343" w:rsidRDefault="00F56343" w:rsidP="007C3136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- </w:t>
      </w:r>
      <w:r w:rsidR="0072515C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облачение</w:t>
      </w: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 тела</w:t>
      </w:r>
      <w:r w:rsidR="0072515C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;</w:t>
      </w:r>
    </w:p>
    <w:p w:rsidR="0072515C" w:rsidRDefault="0072515C" w:rsidP="007C3136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- предоставление гроба;</w:t>
      </w:r>
    </w:p>
    <w:p w:rsidR="0072515C" w:rsidRDefault="0072515C" w:rsidP="007C3136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- перевозку </w:t>
      </w:r>
      <w:proofErr w:type="gramStart"/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умершего</w:t>
      </w:r>
      <w:proofErr w:type="gramEnd"/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 на кладбище (в крематорий);</w:t>
      </w:r>
    </w:p>
    <w:p w:rsidR="0072515C" w:rsidRDefault="0072515C" w:rsidP="007C3136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- погребение.</w:t>
      </w:r>
    </w:p>
    <w:p w:rsidR="0072515C" w:rsidRDefault="0072515C" w:rsidP="007C3136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Стоимость указанных услуг определяется органом местного самоуправления. Специализированная организация направляет в орган местного самоуправления предложения в части определения стоимости услуг в пределах суммы, установленной статьей 9 Закона о погребении.</w:t>
      </w:r>
    </w:p>
    <w:p w:rsidR="00D65EC3" w:rsidRDefault="0072515C" w:rsidP="007C3136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Также с целью выявления самовольных захоронений специализированная служба вправе производить контроль мест захоронений.</w:t>
      </w:r>
    </w:p>
    <w:p w:rsidR="00D65EC3" w:rsidRDefault="00D65EC3" w:rsidP="00D65EC3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Статья 3 Закона о погребении </w:t>
      </w:r>
      <w:r w:rsidRPr="00D65EC3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определяет погребение как обрядовые действия по захоронению тела (останков) человека после его смерти в соответствии с обычаями и традициями, не противоречащими санитарным и иным требованиям. Погребение может </w:t>
      </w:r>
      <w:r w:rsidRPr="00D65EC3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lastRenderedPageBreak/>
        <w:t>осуществляться путем предания тела (останков) умершего земле (захоронение в могилу, склеп), огню (кремация с последующим захоронением урны с прахом), воде (захоронение в воду в порядке, определенном нормативными правовыми актами Российской Федерации).</w:t>
      </w:r>
    </w:p>
    <w:p w:rsidR="00D65EC3" w:rsidRDefault="00D65EC3" w:rsidP="007C3136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proofErr w:type="gramStart"/>
      <w:r w:rsidRPr="00D65EC3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Местами погребения</w:t>
      </w: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 в соответствии с частью 1 статьи 4 Закона о погребении </w:t>
      </w:r>
      <w:r w:rsidRPr="00D65EC3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стенами скорби для захоронения урн с прахом умерших (пеплом после сожжения тел (останков) умерших, далее - прах), крематориями для предания тел (останков) умерших огню, а также иными</w:t>
      </w:r>
      <w:proofErr w:type="gramEnd"/>
      <w:r w:rsidRPr="00D65EC3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 зданиями и сооружениями, предназначенными для осуществления погребения </w:t>
      </w:r>
      <w:proofErr w:type="gramStart"/>
      <w:r w:rsidRPr="00D65EC3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умерших</w:t>
      </w:r>
      <w:proofErr w:type="gramEnd"/>
      <w:r w:rsidRPr="00D65EC3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.</w:t>
      </w:r>
    </w:p>
    <w:p w:rsidR="008931D7" w:rsidRDefault="008931D7" w:rsidP="007C3136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Следовательно, для осуществления погребения тела человека необходимо выкопать могилу.</w:t>
      </w:r>
    </w:p>
    <w:p w:rsidR="007E3717" w:rsidRDefault="008931D7" w:rsidP="007E1A83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>Учитывая, что специализированная служба осуществляет погребение умерших (погибших), не имеющих супруга, близких родственников, иных родственников либо законного представителя умершего, другим хозяйствующим субъектам не запрещено производить копку могил для лиц, не отнесенных к указанной категории.</w:t>
      </w:r>
    </w:p>
    <w:p w:rsidR="007E3717" w:rsidRDefault="007E3717" w:rsidP="007E1A83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</w:p>
    <w:p w:rsidR="007E1A83" w:rsidRDefault="007E1A83" w:rsidP="007E1A83">
      <w:pPr>
        <w:ind w:firstLine="680"/>
        <w:jc w:val="both"/>
        <w:rPr>
          <w:rFonts w:eastAsia="Times New Roman" w:cs="Times New Roman"/>
          <w:i/>
          <w:color w:val="auto"/>
          <w:sz w:val="26"/>
          <w:szCs w:val="26"/>
          <w:lang w:val="ru-RU" w:eastAsia="ar-SA" w:bidi="ar-SA"/>
        </w:rPr>
      </w:pPr>
      <w:r w:rsidRPr="007E1A83">
        <w:rPr>
          <w:rFonts w:eastAsia="Times New Roman" w:cs="Times New Roman"/>
          <w:i/>
          <w:color w:val="auto"/>
          <w:sz w:val="26"/>
          <w:szCs w:val="26"/>
          <w:lang w:val="ru-RU" w:eastAsia="ar-SA" w:bidi="ar-SA"/>
        </w:rPr>
        <w:t>Изучив материалы дела, заслушав доводы лиц, участвующих в деле, Комиссия пришла к следующим выводам.</w:t>
      </w:r>
    </w:p>
    <w:p w:rsidR="00150FFB" w:rsidRDefault="00150FFB" w:rsidP="00150FFB">
      <w:pPr>
        <w:ind w:firstLine="680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r w:rsidRPr="00150FFB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Решением Совета депутатов Саткинского городского поселения Челябинской области от 16.12.2005 № 56/11 утверждено Положение об организации ритуальных услуг и содержании мест захоронения (далее – Положение).</w:t>
      </w:r>
    </w:p>
    <w:p w:rsidR="003A6BC5" w:rsidRDefault="003A6BC5" w:rsidP="00150FFB">
      <w:pPr>
        <w:ind w:firstLine="680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r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Пунктом 3</w:t>
      </w:r>
      <w:r w:rsidR="0059673B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статьи 1</w:t>
      </w:r>
      <w:r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Положения установлено, что данное Положение является обязательным для всех участников процесса оказания ритуальных услуг, благоустройства и содержания кладбищ, которыми согласно пункту 4 Положения являются:</w:t>
      </w:r>
    </w:p>
    <w:p w:rsidR="003A6BC5" w:rsidRDefault="003A6BC5" w:rsidP="00150FFB">
      <w:pPr>
        <w:ind w:firstLine="680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r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- население;</w:t>
      </w:r>
    </w:p>
    <w:p w:rsidR="003A6BC5" w:rsidRDefault="003A6BC5" w:rsidP="00150FFB">
      <w:pPr>
        <w:ind w:firstLine="680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r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- органы местного самоуправления;</w:t>
      </w:r>
    </w:p>
    <w:p w:rsidR="003A6BC5" w:rsidRDefault="003A6BC5" w:rsidP="00150FFB">
      <w:pPr>
        <w:ind w:firstLine="680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r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- граждане и их объединения, юридические лица, независимо от форм собственности и ведомственной принадлежности, их представительства и филиалы, осуществляющие деятельность в сфере оказания ритуальных услуг.</w:t>
      </w:r>
    </w:p>
    <w:p w:rsidR="003A6BC5" w:rsidRPr="00150FFB" w:rsidRDefault="003A6BC5" w:rsidP="00150FFB">
      <w:pPr>
        <w:ind w:firstLine="680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r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В соответствии с пунктом 6</w:t>
      </w:r>
      <w:r w:rsidR="0059673B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статьи 2</w:t>
      </w:r>
      <w:r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Положения, участники процесса оказания ритуальных услуг, благоустройства и содержания кладбищ координируют и контролируют</w:t>
      </w:r>
      <w:r w:rsidR="00D15796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организацию похоронного дела, процессы оказания ритуальных услуг, </w:t>
      </w:r>
      <w:r w:rsidR="00D15796" w:rsidRPr="00D15796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благоустройства и содержания кладбищ</w:t>
      </w:r>
      <w:r w:rsidR="00D15796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в пределах своей компетенции.</w:t>
      </w:r>
    </w:p>
    <w:p w:rsidR="00150FFB" w:rsidRPr="00150FFB" w:rsidRDefault="00150FFB" w:rsidP="00150FFB">
      <w:pPr>
        <w:ind w:firstLine="680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r w:rsidRPr="00150FFB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Согласно пункту 7 статьи 2 Положения, специализированные службы по вопросам похоронного дела для осуществления своих функций имеют право:</w:t>
      </w:r>
    </w:p>
    <w:p w:rsidR="00150FFB" w:rsidRPr="00150FFB" w:rsidRDefault="00150FFB" w:rsidP="00150FFB">
      <w:pPr>
        <w:ind w:firstLine="680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r w:rsidRPr="00150FFB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1) требовать от всех участников процесса оказания ритуальных услуг своевременного информирования и согласования всех захоронений;</w:t>
      </w:r>
    </w:p>
    <w:p w:rsidR="00150FFB" w:rsidRPr="00150FFB" w:rsidRDefault="00150FFB" w:rsidP="00150FFB">
      <w:pPr>
        <w:ind w:firstLine="680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r w:rsidRPr="00150FFB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2) производить захоронение согласно справке </w:t>
      </w:r>
      <w:proofErr w:type="spellStart"/>
      <w:r w:rsidRPr="00150FFB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ЗАГСа</w:t>
      </w:r>
      <w:proofErr w:type="spellEnd"/>
      <w:r w:rsidRPr="00150FFB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в соответствии с планом кладбищ и занесением данного факта в журнал регистрации захоронений. В выходные и праздничные дни, а также при форс-мажорных обстоятельствах разрешить захоронение по медицинским справкам с последующим предоставлением справки </w:t>
      </w:r>
      <w:proofErr w:type="spellStart"/>
      <w:r w:rsidRPr="00150FFB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ЗАГСа</w:t>
      </w:r>
      <w:proofErr w:type="spellEnd"/>
      <w:r w:rsidRPr="00150FFB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;</w:t>
      </w:r>
    </w:p>
    <w:p w:rsidR="00150FFB" w:rsidRPr="00150FFB" w:rsidRDefault="00150FFB" w:rsidP="00150FFB">
      <w:pPr>
        <w:ind w:firstLine="680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r w:rsidRPr="00150FFB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3) разрабатывать тарифы на оказание ритуальных услуг, критерии оценки качества ритуальных услуг и работ по содержанию кладбищ, программы развития ритуальных услуг города и поселков, обоснования закрытия кладбищ и т.п., информировать всех участников процесса оказания ритуальных услуг, благоустройства </w:t>
      </w:r>
      <w:r w:rsidRPr="00150FFB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lastRenderedPageBreak/>
        <w:t>и содержания кладбищ о разработанных материалах и требовать их выполнения;</w:t>
      </w:r>
    </w:p>
    <w:p w:rsidR="001942E0" w:rsidRDefault="00150FFB" w:rsidP="001942E0">
      <w:pPr>
        <w:ind w:firstLine="680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r w:rsidRPr="00150FFB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4) производить регулярный контроль мест захоронений и иные полн</w:t>
      </w:r>
      <w:r w:rsidR="001942E0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омочия.</w:t>
      </w:r>
    </w:p>
    <w:p w:rsidR="001942E0" w:rsidRPr="001942E0" w:rsidRDefault="001942E0" w:rsidP="001942E0">
      <w:pPr>
        <w:ind w:firstLine="680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r w:rsidRPr="001942E0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Согласно пункту 22 части 1 статьи 14 Федерального закона от 06.10.2003 № 131-ФЗ "Об общих принципах организации местного самоуправления в Российской Федерации", организация ритуальных услуг и содержание мест захоронения отнесены к вопросам местного значения поселения.</w:t>
      </w:r>
    </w:p>
    <w:p w:rsidR="001942E0" w:rsidRPr="001942E0" w:rsidRDefault="001942E0" w:rsidP="001942E0">
      <w:pPr>
        <w:ind w:firstLine="680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r w:rsidRPr="001942E0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Частью 2 статьи 25 Закона о  погребении установлено, что организация похоронного дела осуществляется органами местного самоуправления. Погребение умершего и оказание услуг по погребению осуществляются специализированными службами по вопросам похоронного дела, создаваемыми органами местного самоуправления.</w:t>
      </w:r>
    </w:p>
    <w:p w:rsidR="001942E0" w:rsidRPr="001942E0" w:rsidRDefault="001942E0" w:rsidP="001942E0">
      <w:pPr>
        <w:ind w:firstLine="680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r w:rsidRPr="001942E0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Согласно статье 29 Закона о погребении органы местного самоуправления районов, поселений и городских округов создают специализированные службы по вопросам похоронного дела, на которые в соответствии с данным Федеральным законом возлагается обязанность по осуществлению погребения умерших (часть 1), и которые определяют порядок деятельности специализированных служб по вопросам похоронного дела (часть 2).</w:t>
      </w:r>
    </w:p>
    <w:p w:rsidR="001942E0" w:rsidRPr="001942E0" w:rsidRDefault="001942E0" w:rsidP="001942E0">
      <w:pPr>
        <w:ind w:firstLine="680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r w:rsidRPr="001942E0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Как установлено статьей 18 Закона о погребении, общественные кладбища находятся в ведении органов местного самоуправления, которые определяют порядок деятельности кладбищ. Возможность передачи общественных кладбищ в ведение какого-либо хозяйствующего субъекта, в том числе и обладающего статусом специализированной службы, Законом о погребении не предусмотрена.</w:t>
      </w:r>
    </w:p>
    <w:p w:rsidR="001942E0" w:rsidRDefault="001942E0" w:rsidP="001942E0">
      <w:pPr>
        <w:ind w:firstLine="680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r w:rsidRPr="001942E0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Соответственно, любые распорядительные, контрольные, разрешительные и т.п. полномочия, в том числе отвод земельных участков для захоронений,  предоставление участков под захоронения, регистрация захоронений не должны осуществляться хозяйствующими субъектами, поскольку решение данных вопросов возложено на органы местного самоуправления.</w:t>
      </w:r>
    </w:p>
    <w:p w:rsidR="00A80A5B" w:rsidRDefault="00FB585E" w:rsidP="001942E0">
      <w:pPr>
        <w:ind w:firstLine="680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r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Предусмотренные подпунктами 1 и </w:t>
      </w:r>
      <w:r w:rsidR="00DD2C31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3 пункта 7 Положения права специализированной службы</w:t>
      </w:r>
      <w:r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требования от участников процесса оказания ритуальных услуг информирования и согласования всех захоронений; </w:t>
      </w:r>
      <w:proofErr w:type="gramStart"/>
      <w:r w:rsidR="00DD2C31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по разработке программ развития ритуальных услуг города и поселков, обоснования закрытия кладбищ</w:t>
      </w:r>
      <w:r w:rsidR="00F923E4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, и право требования выполнения разработанных материалов</w:t>
      </w:r>
      <w:r w:rsidR="00DD2C31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также относятся к </w:t>
      </w:r>
      <w:r w:rsidR="00A80A5B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функциям органов местного самоуправления по организация похоронного дела</w:t>
      </w:r>
      <w:r w:rsidR="00365F64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, осуществляемым ими</w:t>
      </w:r>
      <w:r w:rsidR="000148B3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самостоятельно</w:t>
      </w:r>
      <w:r w:rsidR="00365F64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в соответствии с пунктом</w:t>
      </w:r>
      <w:r w:rsidR="00365F64" w:rsidRPr="00365F64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22 части 1 статьи 14 Федерального закона от 06.10.2003 № 131-ФЗ "Об общих принципах организации местного самоуправления в Российской Федерации"</w:t>
      </w:r>
      <w:r w:rsidR="00365F64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и ч</w:t>
      </w:r>
      <w:r w:rsidR="00365F64" w:rsidRPr="00365F64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астью 2 статьи 25</w:t>
      </w:r>
      <w:proofErr w:type="gramEnd"/>
      <w:r w:rsidR="00365F64" w:rsidRPr="00365F64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Закона о  погребении</w:t>
      </w:r>
      <w:r w:rsidR="00F923E4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.</w:t>
      </w:r>
    </w:p>
    <w:p w:rsidR="001942E0" w:rsidRPr="001942E0" w:rsidRDefault="001942E0" w:rsidP="001942E0">
      <w:pPr>
        <w:ind w:firstLine="680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proofErr w:type="gramStart"/>
      <w:r w:rsidRPr="001942E0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С целью реализации функций, закрепленных за органами местного самоуправления в сфере похоронного дела, органами местного самоуправления м</w:t>
      </w:r>
      <w:r w:rsidR="00CE2C50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огут быть созданы муниципальные </w:t>
      </w:r>
      <w:r w:rsidRPr="001942E0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учреждения, которые не будут осуществлять деятельность, приносящую им доход, т.е. не будут являться хозяйствующими субъектами в понимании пункта 5 статьи 4 Закона о защите конкуренции, которые на безвозмездной основе будут осуществлять, в том числе выделение земельных участков для захоронений</w:t>
      </w:r>
      <w:proofErr w:type="gramEnd"/>
      <w:r w:rsidRPr="001942E0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, ведение книг регистрации  захоронений умерших в регистрационной книге, </w:t>
      </w:r>
      <w:proofErr w:type="gramStart"/>
      <w:r w:rsidRPr="001942E0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контроль за</w:t>
      </w:r>
      <w:proofErr w:type="gramEnd"/>
      <w:r w:rsidRPr="001942E0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соблюдением порядка захоронений и т.д. При этом</w:t>
      </w:r>
      <w:proofErr w:type="gramStart"/>
      <w:r w:rsidRPr="001942E0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,</w:t>
      </w:r>
      <w:proofErr w:type="gramEnd"/>
      <w:r w:rsidRPr="001942E0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органы местного самоуправления будут координиро</w:t>
      </w:r>
      <w:r w:rsidR="00CE2C50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вать деятельность муниципальных </w:t>
      </w:r>
      <w:r w:rsidRPr="001942E0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учреждений. Данный механизм работы позволит передать в соответствии с действующим законодательством земельные участки муниципальных </w:t>
      </w:r>
      <w:r w:rsidR="00CE2C50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кладбищ в ведение муниципальным </w:t>
      </w:r>
      <w:r w:rsidRPr="001942E0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учреждениям. При отсутствии воз</w:t>
      </w:r>
      <w:r w:rsidR="00CE2C50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можности создания муниципальных </w:t>
      </w:r>
      <w:r w:rsidRPr="001942E0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учреждений, органами местного самоуправления  функции в сфере </w:t>
      </w:r>
      <w:r w:rsidRPr="001942E0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lastRenderedPageBreak/>
        <w:t>похоронного дела должны осуществляться самостоятельно.</w:t>
      </w:r>
    </w:p>
    <w:p w:rsidR="00150FFB" w:rsidRPr="00150FFB" w:rsidRDefault="00150FFB" w:rsidP="00150FFB">
      <w:pPr>
        <w:ind w:firstLine="680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r w:rsidRPr="00150FFB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Согласно части 2 статьи 6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организация и осуществление муниципального контроля на соответствующей территории относится к полномочиям органов местного самоуправления.</w:t>
      </w:r>
    </w:p>
    <w:p w:rsidR="00150FFB" w:rsidRPr="00150FFB" w:rsidRDefault="00150FFB" w:rsidP="00150FFB">
      <w:pPr>
        <w:ind w:firstLine="680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proofErr w:type="gramStart"/>
      <w:r w:rsidRPr="00150FFB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При этом под муниципальным контролем понимается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значения.</w:t>
      </w:r>
      <w:proofErr w:type="gramEnd"/>
    </w:p>
    <w:p w:rsidR="00150FFB" w:rsidRPr="00150FFB" w:rsidRDefault="00150FFB" w:rsidP="00150FFB">
      <w:pPr>
        <w:ind w:firstLine="680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r w:rsidRPr="00150FFB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Таким образом, муниципальный контроль на территории городского поселения могут осуществлять только органы местного самоуправления.</w:t>
      </w:r>
    </w:p>
    <w:p w:rsidR="00691BDD" w:rsidRDefault="00150FFB" w:rsidP="00451768">
      <w:pPr>
        <w:ind w:firstLine="680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r w:rsidRPr="00150FFB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Соответственно, контроль организации похоронного дела,</w:t>
      </w:r>
      <w:r w:rsidR="00691BDD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а</w:t>
      </w:r>
      <w:r w:rsidRPr="00150FFB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также контроль мест захоронений должны осуществлять органы местного самоуправления.</w:t>
      </w:r>
    </w:p>
    <w:p w:rsidR="001942E0" w:rsidRPr="001942E0" w:rsidRDefault="001942E0" w:rsidP="001942E0">
      <w:pPr>
        <w:ind w:firstLine="680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r w:rsidRPr="001942E0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Частью 3 статьи 15 Федерального закона от 26.07.2006 № 135-ФЗ "О защите конкуренции" запрещается совмещение функций органов местного самоуправления и функций хозяйствующих субъектов, а также наделение хозяйствующих субъектов функциями и правами указанных органов.</w:t>
      </w:r>
    </w:p>
    <w:p w:rsidR="001942E0" w:rsidRPr="00150FFB" w:rsidRDefault="001942E0" w:rsidP="0046773A">
      <w:pPr>
        <w:ind w:firstLine="680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r w:rsidRPr="001942E0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Таким образом, </w:t>
      </w:r>
      <w:r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Совет депутатов </w:t>
      </w:r>
      <w:r w:rsidRPr="001942E0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Саткинского городского поселения, возложив </w:t>
      </w:r>
      <w:r w:rsidR="0046773A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на специализированную</w:t>
      </w:r>
      <w:r w:rsidR="00DA7F32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службу</w:t>
      </w:r>
      <w:r w:rsidR="0046773A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</w:t>
      </w:r>
      <w:r w:rsidRPr="001942E0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полномочия по</w:t>
      </w:r>
      <w:r w:rsidR="00451768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организации и</w:t>
      </w:r>
      <w:r w:rsidR="0046773A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контролю</w:t>
      </w:r>
      <w:r w:rsidR="0046773A" w:rsidRPr="0046773A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организации похоронного дела,</w:t>
      </w:r>
      <w:r w:rsidR="0046773A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а</w:t>
      </w:r>
      <w:r w:rsidR="0046773A" w:rsidRPr="0046773A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также контрол</w:t>
      </w:r>
      <w:r w:rsidR="0046773A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ю</w:t>
      </w:r>
      <w:r w:rsidR="0046773A" w:rsidRPr="0046773A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мест захоронений</w:t>
      </w:r>
      <w:r w:rsidR="0046773A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, фактически совершил</w:t>
      </w:r>
      <w:r w:rsidRPr="001942E0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действия по наделению хозяйствующего субъекта функциями органа местного самоуправления, что противоречит части 3 статьи 15 Закона о защите конкуренции.</w:t>
      </w:r>
    </w:p>
    <w:p w:rsidR="00150FFB" w:rsidRDefault="00150FFB" w:rsidP="00150FFB">
      <w:pPr>
        <w:ind w:firstLine="680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r w:rsidRPr="00150FFB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Согласно пункту 14 статьи 3 Положения, право на копку могил и захоронение имеет специализированная служба по вопросам похоронного дела.</w:t>
      </w:r>
    </w:p>
    <w:p w:rsidR="00CE5682" w:rsidRPr="00150FFB" w:rsidRDefault="00CE5682" w:rsidP="00150FFB">
      <w:pPr>
        <w:ind w:firstLine="680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r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Из буквального толкования данной нормы Положения не следует, что иные</w:t>
      </w:r>
      <w:r w:rsidR="00D15796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участники</w:t>
      </w:r>
      <w:r w:rsidR="00D15796" w:rsidRPr="00D15796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процесса оказания ритуальных услуг, благоустройства и содержания кладбищ</w:t>
      </w:r>
      <w:r w:rsidR="00D15796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, в том числе </w:t>
      </w:r>
      <w:r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хозяйствующие субъекты</w:t>
      </w:r>
      <w:r w:rsidR="00D15796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,</w:t>
      </w:r>
      <w:r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наделены таким правом</w:t>
      </w:r>
      <w:r w:rsidR="00D15796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.</w:t>
      </w:r>
    </w:p>
    <w:p w:rsidR="00150FFB" w:rsidRPr="00150FFB" w:rsidRDefault="00150FFB" w:rsidP="00150FFB">
      <w:pPr>
        <w:ind w:firstLine="680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r w:rsidRPr="00150FFB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Однако Федеральным законом от 12.01.1996 № 8-ФЗ "О погребении и похоронном деле" субъектный состав участников рынка ритуальных услуг не ограничен специализированными службами, из чего следует, что право на осуществление всего комплекса ритуальных услуг, в том числе копки могил и захоронения, имеют также иные хозяйствующие субъекты.</w:t>
      </w:r>
    </w:p>
    <w:p w:rsidR="006E55DE" w:rsidRPr="00150FFB" w:rsidRDefault="00150FFB" w:rsidP="00CE5682">
      <w:pPr>
        <w:ind w:firstLine="680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r w:rsidRPr="00150FFB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Частью 1 статьи 15 Закона о защите конкуренции органам местного самоуправления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конкуренции.</w:t>
      </w:r>
    </w:p>
    <w:p w:rsidR="00150FFB" w:rsidRDefault="00150FFB" w:rsidP="00150FFB">
      <w:pPr>
        <w:ind w:firstLine="680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r w:rsidRPr="00150FFB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Указанные действия Совета депутатов Саткинского городского поселения</w:t>
      </w:r>
      <w:r w:rsidR="006E55DE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могут привести к созданию</w:t>
      </w:r>
      <w:r w:rsidRPr="00150FFB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отдельному хозяйствующему субъекту, – специализированной службе, необоснованны</w:t>
      </w:r>
      <w:r w:rsidR="006E55DE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х</w:t>
      </w:r>
      <w:r w:rsidRPr="00150FFB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п</w:t>
      </w:r>
      <w:r w:rsidR="006E55DE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реимуществ</w:t>
      </w:r>
      <w:r w:rsidRPr="00150FFB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осуществления деятельности на рынке оказан</w:t>
      </w:r>
      <w:r w:rsidR="00C67A14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ия ритуальных услуг посредством </w:t>
      </w:r>
      <w:r w:rsidR="006E55DE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предоставления </w:t>
      </w:r>
      <w:r w:rsidRPr="00150FFB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права копки могил и осуществления захоронений, что</w:t>
      </w:r>
      <w:r w:rsidR="006E55DE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может привести к ограничению, устранению, недопущению </w:t>
      </w:r>
      <w:proofErr w:type="gramStart"/>
      <w:r w:rsidR="006E55DE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конкуренции</w:t>
      </w:r>
      <w:proofErr w:type="gramEnd"/>
      <w:r w:rsidR="006E55DE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и</w:t>
      </w:r>
      <w:r w:rsidRPr="00150FFB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запрещено частью 1 статьи 15 Закона о защите конкуренции</w:t>
      </w:r>
      <w:r w:rsidR="008B214D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.</w:t>
      </w:r>
    </w:p>
    <w:p w:rsidR="00027430" w:rsidRPr="00582F38" w:rsidRDefault="00EC36D0" w:rsidP="00742D94">
      <w:pPr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r w:rsidRPr="00EC36D0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ab/>
      </w:r>
    </w:p>
    <w:p w:rsidR="00027430" w:rsidRDefault="00027430" w:rsidP="00027430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  <w:r w:rsidRPr="00027430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t xml:space="preserve">Руководствуясь статьей 23, частью 1 статьи 39, частями 1 - 4 статьи 41, статьей  </w:t>
      </w:r>
      <w:r w:rsidRPr="00027430"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  <w:lastRenderedPageBreak/>
        <w:t>48, частью 1 статьи 49 Закона о защите конкуренции, Комиссия</w:t>
      </w:r>
    </w:p>
    <w:p w:rsidR="00027430" w:rsidRPr="00027430" w:rsidRDefault="00027430" w:rsidP="00027430">
      <w:pPr>
        <w:ind w:firstLine="680"/>
        <w:jc w:val="both"/>
        <w:rPr>
          <w:rFonts w:eastAsia="Arial CYR" w:cs="Arial CYR"/>
          <w:color w:val="auto"/>
          <w:kern w:val="3"/>
          <w:sz w:val="26"/>
          <w:szCs w:val="26"/>
          <w:lang w:val="ru-RU" w:eastAsia="ar-SA" w:bidi="ar-SA"/>
        </w:rPr>
      </w:pPr>
    </w:p>
    <w:p w:rsidR="00027430" w:rsidRDefault="00027430" w:rsidP="00027430">
      <w:pPr>
        <w:ind w:firstLine="680"/>
        <w:jc w:val="center"/>
        <w:rPr>
          <w:rFonts w:eastAsia="Arial CYR" w:cs="Arial CYR"/>
          <w:b/>
          <w:color w:val="auto"/>
          <w:kern w:val="3"/>
          <w:sz w:val="26"/>
          <w:szCs w:val="26"/>
          <w:lang w:val="ru-RU" w:eastAsia="ar-SA" w:bidi="ar-SA"/>
        </w:rPr>
      </w:pPr>
      <w:proofErr w:type="gramStart"/>
      <w:r w:rsidRPr="00027430">
        <w:rPr>
          <w:rFonts w:eastAsia="Arial CYR" w:cs="Arial CYR"/>
          <w:b/>
          <w:color w:val="auto"/>
          <w:kern w:val="3"/>
          <w:sz w:val="26"/>
          <w:szCs w:val="26"/>
          <w:lang w:val="ru-RU" w:eastAsia="ar-SA" w:bidi="ar-SA"/>
        </w:rPr>
        <w:t>Р</w:t>
      </w:r>
      <w:proofErr w:type="gramEnd"/>
      <w:r>
        <w:rPr>
          <w:rFonts w:eastAsia="Arial CYR" w:cs="Arial CYR"/>
          <w:b/>
          <w:color w:val="auto"/>
          <w:kern w:val="3"/>
          <w:sz w:val="26"/>
          <w:szCs w:val="26"/>
          <w:lang w:val="ru-RU" w:eastAsia="ar-SA" w:bidi="ar-SA"/>
        </w:rPr>
        <w:t xml:space="preserve"> </w:t>
      </w:r>
      <w:r w:rsidRPr="00027430">
        <w:rPr>
          <w:rFonts w:eastAsia="Arial CYR" w:cs="Arial CYR"/>
          <w:b/>
          <w:color w:val="auto"/>
          <w:kern w:val="3"/>
          <w:sz w:val="26"/>
          <w:szCs w:val="26"/>
          <w:lang w:val="ru-RU" w:eastAsia="ar-SA" w:bidi="ar-SA"/>
        </w:rPr>
        <w:t>Е</w:t>
      </w:r>
      <w:r>
        <w:rPr>
          <w:rFonts w:eastAsia="Arial CYR" w:cs="Arial CYR"/>
          <w:b/>
          <w:color w:val="auto"/>
          <w:kern w:val="3"/>
          <w:sz w:val="26"/>
          <w:szCs w:val="26"/>
          <w:lang w:val="ru-RU" w:eastAsia="ar-SA" w:bidi="ar-SA"/>
        </w:rPr>
        <w:t xml:space="preserve"> </w:t>
      </w:r>
      <w:r w:rsidRPr="00027430">
        <w:rPr>
          <w:rFonts w:eastAsia="Arial CYR" w:cs="Arial CYR"/>
          <w:b/>
          <w:color w:val="auto"/>
          <w:kern w:val="3"/>
          <w:sz w:val="26"/>
          <w:szCs w:val="26"/>
          <w:lang w:val="ru-RU" w:eastAsia="ar-SA" w:bidi="ar-SA"/>
        </w:rPr>
        <w:t>Ш</w:t>
      </w:r>
      <w:r>
        <w:rPr>
          <w:rFonts w:eastAsia="Arial CYR" w:cs="Arial CYR"/>
          <w:b/>
          <w:color w:val="auto"/>
          <w:kern w:val="3"/>
          <w:sz w:val="26"/>
          <w:szCs w:val="26"/>
          <w:lang w:val="ru-RU" w:eastAsia="ar-SA" w:bidi="ar-SA"/>
        </w:rPr>
        <w:t xml:space="preserve"> </w:t>
      </w:r>
      <w:r w:rsidRPr="00027430">
        <w:rPr>
          <w:rFonts w:eastAsia="Arial CYR" w:cs="Arial CYR"/>
          <w:b/>
          <w:color w:val="auto"/>
          <w:kern w:val="3"/>
          <w:sz w:val="26"/>
          <w:szCs w:val="26"/>
          <w:lang w:val="ru-RU" w:eastAsia="ar-SA" w:bidi="ar-SA"/>
        </w:rPr>
        <w:t>И</w:t>
      </w:r>
      <w:r>
        <w:rPr>
          <w:rFonts w:eastAsia="Arial CYR" w:cs="Arial CYR"/>
          <w:b/>
          <w:color w:val="auto"/>
          <w:kern w:val="3"/>
          <w:sz w:val="26"/>
          <w:szCs w:val="26"/>
          <w:lang w:val="ru-RU" w:eastAsia="ar-SA" w:bidi="ar-SA"/>
        </w:rPr>
        <w:t xml:space="preserve"> </w:t>
      </w:r>
      <w:r w:rsidRPr="00027430">
        <w:rPr>
          <w:rFonts w:eastAsia="Arial CYR" w:cs="Arial CYR"/>
          <w:b/>
          <w:color w:val="auto"/>
          <w:kern w:val="3"/>
          <w:sz w:val="26"/>
          <w:szCs w:val="26"/>
          <w:lang w:val="ru-RU" w:eastAsia="ar-SA" w:bidi="ar-SA"/>
        </w:rPr>
        <w:t>Л</w:t>
      </w:r>
      <w:r>
        <w:rPr>
          <w:rFonts w:eastAsia="Arial CYR" w:cs="Arial CYR"/>
          <w:b/>
          <w:color w:val="auto"/>
          <w:kern w:val="3"/>
          <w:sz w:val="26"/>
          <w:szCs w:val="26"/>
          <w:lang w:val="ru-RU" w:eastAsia="ar-SA" w:bidi="ar-SA"/>
        </w:rPr>
        <w:t xml:space="preserve"> </w:t>
      </w:r>
      <w:r w:rsidRPr="00027430">
        <w:rPr>
          <w:rFonts w:eastAsia="Arial CYR" w:cs="Arial CYR"/>
          <w:b/>
          <w:color w:val="auto"/>
          <w:kern w:val="3"/>
          <w:sz w:val="26"/>
          <w:szCs w:val="26"/>
          <w:lang w:val="ru-RU" w:eastAsia="ar-SA" w:bidi="ar-SA"/>
        </w:rPr>
        <w:t>А</w:t>
      </w:r>
      <w:r>
        <w:rPr>
          <w:rFonts w:eastAsia="Arial CYR" w:cs="Arial CYR"/>
          <w:b/>
          <w:color w:val="auto"/>
          <w:kern w:val="3"/>
          <w:sz w:val="26"/>
          <w:szCs w:val="26"/>
          <w:lang w:val="ru-RU" w:eastAsia="ar-SA" w:bidi="ar-SA"/>
        </w:rPr>
        <w:t xml:space="preserve"> </w:t>
      </w:r>
      <w:r w:rsidRPr="00027430">
        <w:rPr>
          <w:rFonts w:eastAsia="Arial CYR" w:cs="Arial CYR"/>
          <w:b/>
          <w:color w:val="auto"/>
          <w:kern w:val="3"/>
          <w:sz w:val="26"/>
          <w:szCs w:val="26"/>
          <w:lang w:val="ru-RU" w:eastAsia="ar-SA" w:bidi="ar-SA"/>
        </w:rPr>
        <w:t>:</w:t>
      </w:r>
    </w:p>
    <w:p w:rsidR="00027430" w:rsidRPr="00027430" w:rsidRDefault="00027430" w:rsidP="00027430">
      <w:pPr>
        <w:ind w:firstLine="680"/>
        <w:jc w:val="center"/>
        <w:rPr>
          <w:rFonts w:eastAsia="Arial CYR" w:cs="Arial CYR"/>
          <w:b/>
          <w:color w:val="auto"/>
          <w:kern w:val="3"/>
          <w:sz w:val="26"/>
          <w:szCs w:val="26"/>
          <w:lang w:val="ru-RU" w:eastAsia="ar-SA" w:bidi="ar-SA"/>
        </w:rPr>
      </w:pPr>
    </w:p>
    <w:p w:rsidR="00247F80" w:rsidRPr="00247F80" w:rsidRDefault="00247F80" w:rsidP="00247F80">
      <w:pPr>
        <w:autoSpaceDE w:val="0"/>
        <w:ind w:firstLine="540"/>
        <w:jc w:val="both"/>
        <w:rPr>
          <w:spacing w:val="-4"/>
          <w:sz w:val="26"/>
          <w:szCs w:val="26"/>
          <w:lang w:val="ru-RU"/>
        </w:rPr>
      </w:pPr>
      <w:r w:rsidRPr="00247F80">
        <w:rPr>
          <w:spacing w:val="-4"/>
          <w:sz w:val="26"/>
          <w:szCs w:val="26"/>
          <w:lang w:val="ru-RU"/>
        </w:rPr>
        <w:t xml:space="preserve">1. </w:t>
      </w:r>
      <w:proofErr w:type="gramStart"/>
      <w:r w:rsidRPr="00247F80">
        <w:rPr>
          <w:spacing w:val="-4"/>
          <w:sz w:val="26"/>
          <w:szCs w:val="26"/>
          <w:lang w:val="ru-RU"/>
        </w:rPr>
        <w:t>Признать нарушением части 3 статьи 15 Закона о защите конкуренции действия</w:t>
      </w:r>
      <w:r w:rsidR="00C67A14">
        <w:rPr>
          <w:spacing w:val="-4"/>
          <w:sz w:val="26"/>
          <w:szCs w:val="26"/>
          <w:lang w:val="ru-RU"/>
        </w:rPr>
        <w:t xml:space="preserve"> Совета депутатов</w:t>
      </w:r>
      <w:r w:rsidRPr="00247F80">
        <w:rPr>
          <w:spacing w:val="-4"/>
          <w:sz w:val="26"/>
          <w:szCs w:val="26"/>
          <w:lang w:val="ru-RU"/>
        </w:rPr>
        <w:t xml:space="preserve"> Саткинского городского поселения по </w:t>
      </w:r>
      <w:r w:rsidR="00D06C00">
        <w:rPr>
          <w:spacing w:val="-4"/>
          <w:sz w:val="26"/>
          <w:szCs w:val="26"/>
          <w:lang w:val="ru-RU"/>
        </w:rPr>
        <w:t>наделению</w:t>
      </w:r>
      <w:r w:rsidR="00592BAB" w:rsidRPr="00592BAB">
        <w:rPr>
          <w:lang w:val="ru-RU"/>
        </w:rPr>
        <w:t xml:space="preserve"> </w:t>
      </w:r>
      <w:r w:rsidR="00592BAB">
        <w:rPr>
          <w:spacing w:val="-4"/>
          <w:sz w:val="26"/>
          <w:szCs w:val="26"/>
          <w:lang w:val="ru-RU"/>
        </w:rPr>
        <w:t xml:space="preserve">специализированной </w:t>
      </w:r>
      <w:r w:rsidR="00DA7F32">
        <w:rPr>
          <w:spacing w:val="-4"/>
          <w:sz w:val="26"/>
          <w:szCs w:val="26"/>
          <w:lang w:val="ru-RU"/>
        </w:rPr>
        <w:t xml:space="preserve">службы по вопросам похоронного дела </w:t>
      </w:r>
      <w:r w:rsidR="00592BAB">
        <w:rPr>
          <w:spacing w:val="-4"/>
          <w:sz w:val="26"/>
          <w:szCs w:val="26"/>
          <w:lang w:val="ru-RU"/>
        </w:rPr>
        <w:t>пунктом</w:t>
      </w:r>
      <w:r w:rsidR="00592BAB" w:rsidRPr="00592BAB">
        <w:rPr>
          <w:spacing w:val="-4"/>
          <w:sz w:val="26"/>
          <w:szCs w:val="26"/>
          <w:lang w:val="ru-RU"/>
        </w:rPr>
        <w:t xml:space="preserve"> 7 статьи 2 Положения</w:t>
      </w:r>
      <w:r w:rsidR="00D15796" w:rsidRPr="00D15796">
        <w:rPr>
          <w:lang w:val="ru-RU"/>
        </w:rPr>
        <w:t xml:space="preserve"> </w:t>
      </w:r>
      <w:r w:rsidR="00D15796" w:rsidRPr="00D15796">
        <w:rPr>
          <w:spacing w:val="-4"/>
          <w:sz w:val="26"/>
          <w:szCs w:val="26"/>
          <w:lang w:val="ru-RU"/>
        </w:rPr>
        <w:t>об организации ритуальных услуг и содержании мест захоронения</w:t>
      </w:r>
      <w:r w:rsidR="00D15796">
        <w:rPr>
          <w:spacing w:val="-4"/>
          <w:sz w:val="26"/>
          <w:szCs w:val="26"/>
          <w:lang w:val="ru-RU"/>
        </w:rPr>
        <w:t>,</w:t>
      </w:r>
      <w:r w:rsidR="00121EDE">
        <w:rPr>
          <w:spacing w:val="-4"/>
          <w:sz w:val="26"/>
          <w:szCs w:val="26"/>
          <w:lang w:val="ru-RU"/>
        </w:rPr>
        <w:t xml:space="preserve"> утвержденного р</w:t>
      </w:r>
      <w:r w:rsidR="00121EDE" w:rsidRPr="00121EDE">
        <w:rPr>
          <w:spacing w:val="-4"/>
          <w:sz w:val="26"/>
          <w:szCs w:val="26"/>
          <w:lang w:val="ru-RU"/>
        </w:rPr>
        <w:t>ешением Совета депутатов Саткинского городского поселения Челябинской области от 16.12.2005 № 56/11</w:t>
      </w:r>
      <w:r w:rsidR="00121EDE">
        <w:rPr>
          <w:spacing w:val="-4"/>
          <w:sz w:val="26"/>
          <w:szCs w:val="26"/>
          <w:lang w:val="ru-RU"/>
        </w:rPr>
        <w:t>,</w:t>
      </w:r>
      <w:r w:rsidR="00D06C00">
        <w:rPr>
          <w:spacing w:val="-4"/>
          <w:sz w:val="26"/>
          <w:szCs w:val="26"/>
          <w:lang w:val="ru-RU"/>
        </w:rPr>
        <w:t xml:space="preserve"> функциями по</w:t>
      </w:r>
      <w:r w:rsidR="00616AD5">
        <w:rPr>
          <w:spacing w:val="-4"/>
          <w:sz w:val="26"/>
          <w:szCs w:val="26"/>
          <w:lang w:val="ru-RU"/>
        </w:rPr>
        <w:t xml:space="preserve"> организации и</w:t>
      </w:r>
      <w:r w:rsidR="00D06C00">
        <w:rPr>
          <w:spacing w:val="-4"/>
          <w:sz w:val="26"/>
          <w:szCs w:val="26"/>
          <w:lang w:val="ru-RU"/>
        </w:rPr>
        <w:t xml:space="preserve"> </w:t>
      </w:r>
      <w:r w:rsidR="00D06C00" w:rsidRPr="00D06C00">
        <w:rPr>
          <w:spacing w:val="-4"/>
          <w:sz w:val="26"/>
          <w:szCs w:val="26"/>
          <w:lang w:val="ru-RU"/>
        </w:rPr>
        <w:t>контролю организации похоронного дела, а также</w:t>
      </w:r>
      <w:proofErr w:type="gramEnd"/>
      <w:r w:rsidR="00D06C00" w:rsidRPr="00D06C00">
        <w:rPr>
          <w:spacing w:val="-4"/>
          <w:sz w:val="26"/>
          <w:szCs w:val="26"/>
          <w:lang w:val="ru-RU"/>
        </w:rPr>
        <w:t xml:space="preserve"> контролю мест захоронений</w:t>
      </w:r>
      <w:r w:rsidRPr="00247F80">
        <w:rPr>
          <w:spacing w:val="-4"/>
          <w:sz w:val="26"/>
          <w:szCs w:val="26"/>
          <w:lang w:val="ru-RU"/>
        </w:rPr>
        <w:t>, являющимися функциями органов местного самоуправления по решению вопросов местного значения в час</w:t>
      </w:r>
      <w:r w:rsidR="00D15796">
        <w:rPr>
          <w:spacing w:val="-4"/>
          <w:sz w:val="26"/>
          <w:szCs w:val="26"/>
          <w:lang w:val="ru-RU"/>
        </w:rPr>
        <w:t>ти организации ритуальных услуг, что приводит или может привести к ограничению, устранению, недопущению конкуренции</w:t>
      </w:r>
    </w:p>
    <w:p w:rsidR="00D06C00" w:rsidRDefault="00247F80" w:rsidP="00247F80">
      <w:pPr>
        <w:autoSpaceDE w:val="0"/>
        <w:ind w:firstLine="540"/>
        <w:jc w:val="both"/>
        <w:rPr>
          <w:spacing w:val="-4"/>
          <w:sz w:val="26"/>
          <w:szCs w:val="26"/>
          <w:lang w:val="ru-RU"/>
        </w:rPr>
      </w:pPr>
      <w:r w:rsidRPr="00247F80">
        <w:rPr>
          <w:spacing w:val="-4"/>
          <w:sz w:val="26"/>
          <w:szCs w:val="26"/>
          <w:lang w:val="ru-RU"/>
        </w:rPr>
        <w:t xml:space="preserve">2. Признать нарушением части </w:t>
      </w:r>
      <w:r w:rsidR="00D06C00">
        <w:rPr>
          <w:spacing w:val="-4"/>
          <w:sz w:val="26"/>
          <w:szCs w:val="26"/>
          <w:lang w:val="ru-RU"/>
        </w:rPr>
        <w:t>1</w:t>
      </w:r>
      <w:r w:rsidRPr="00247F80">
        <w:rPr>
          <w:spacing w:val="-4"/>
          <w:sz w:val="26"/>
          <w:szCs w:val="26"/>
          <w:lang w:val="ru-RU"/>
        </w:rPr>
        <w:t xml:space="preserve"> статьи 15 Закон</w:t>
      </w:r>
      <w:r w:rsidR="00D06C00">
        <w:rPr>
          <w:spacing w:val="-4"/>
          <w:sz w:val="26"/>
          <w:szCs w:val="26"/>
          <w:lang w:val="ru-RU"/>
        </w:rPr>
        <w:t xml:space="preserve">а о защите конкуренции действия </w:t>
      </w:r>
      <w:r w:rsidR="00D06C00" w:rsidRPr="00D06C00">
        <w:rPr>
          <w:spacing w:val="-4"/>
          <w:sz w:val="26"/>
          <w:szCs w:val="26"/>
          <w:lang w:val="ru-RU"/>
        </w:rPr>
        <w:t>Совета депутатов</w:t>
      </w:r>
      <w:r w:rsidR="00D06C00">
        <w:rPr>
          <w:spacing w:val="-4"/>
          <w:sz w:val="26"/>
          <w:szCs w:val="26"/>
          <w:lang w:val="ru-RU"/>
        </w:rPr>
        <w:t xml:space="preserve"> </w:t>
      </w:r>
      <w:r w:rsidRPr="00247F80">
        <w:rPr>
          <w:spacing w:val="-4"/>
          <w:sz w:val="26"/>
          <w:szCs w:val="26"/>
          <w:lang w:val="ru-RU"/>
        </w:rPr>
        <w:t>Сатк</w:t>
      </w:r>
      <w:r w:rsidR="00D06C00">
        <w:rPr>
          <w:spacing w:val="-4"/>
          <w:sz w:val="26"/>
          <w:szCs w:val="26"/>
          <w:lang w:val="ru-RU"/>
        </w:rPr>
        <w:t>инского городского поселения по предоставлению</w:t>
      </w:r>
      <w:r w:rsidR="00D06C00" w:rsidRPr="00D06C00">
        <w:rPr>
          <w:spacing w:val="-4"/>
          <w:sz w:val="26"/>
          <w:szCs w:val="26"/>
          <w:lang w:val="ru-RU"/>
        </w:rPr>
        <w:t xml:space="preserve"> </w:t>
      </w:r>
      <w:r w:rsidR="00D06C00">
        <w:rPr>
          <w:spacing w:val="-4"/>
          <w:sz w:val="26"/>
          <w:szCs w:val="26"/>
          <w:lang w:val="ru-RU"/>
        </w:rPr>
        <w:t>пунктом</w:t>
      </w:r>
      <w:r w:rsidR="00D06C00" w:rsidRPr="00D06C00">
        <w:rPr>
          <w:spacing w:val="-4"/>
          <w:sz w:val="26"/>
          <w:szCs w:val="26"/>
          <w:lang w:val="ru-RU"/>
        </w:rPr>
        <w:t xml:space="preserve"> 14 статьи 3 Положения</w:t>
      </w:r>
      <w:r w:rsidR="00D06C00">
        <w:rPr>
          <w:spacing w:val="-4"/>
          <w:sz w:val="26"/>
          <w:szCs w:val="26"/>
          <w:lang w:val="ru-RU"/>
        </w:rPr>
        <w:t xml:space="preserve"> специализированной службе</w:t>
      </w:r>
      <w:r w:rsidR="00121EDE">
        <w:rPr>
          <w:spacing w:val="-4"/>
          <w:sz w:val="26"/>
          <w:szCs w:val="26"/>
          <w:lang w:val="ru-RU"/>
        </w:rPr>
        <w:t xml:space="preserve"> </w:t>
      </w:r>
      <w:r w:rsidR="00D06C00" w:rsidRPr="00D06C00">
        <w:rPr>
          <w:spacing w:val="-4"/>
          <w:sz w:val="26"/>
          <w:szCs w:val="26"/>
          <w:lang w:val="ru-RU"/>
        </w:rPr>
        <w:t>права копки могил и осуществления захоронений</w:t>
      </w:r>
      <w:r w:rsidR="00D06C00">
        <w:rPr>
          <w:spacing w:val="-4"/>
          <w:sz w:val="26"/>
          <w:szCs w:val="26"/>
          <w:lang w:val="ru-RU"/>
        </w:rPr>
        <w:t>, что</w:t>
      </w:r>
      <w:r w:rsidR="00121EDE">
        <w:rPr>
          <w:spacing w:val="-4"/>
          <w:sz w:val="26"/>
          <w:szCs w:val="26"/>
          <w:lang w:val="ru-RU"/>
        </w:rPr>
        <w:t xml:space="preserve"> может создавать</w:t>
      </w:r>
      <w:r w:rsidR="00D06C00" w:rsidRPr="00D06C00">
        <w:rPr>
          <w:spacing w:val="-4"/>
          <w:sz w:val="26"/>
          <w:szCs w:val="26"/>
          <w:lang w:val="ru-RU"/>
        </w:rPr>
        <w:t xml:space="preserve"> отдельному хозяйствующему субъекту, – специализированной службе, необоснованные преимущества осуществления деятельности на рынке оказания ритуальных услуг</w:t>
      </w:r>
      <w:r w:rsidR="00D06C00">
        <w:rPr>
          <w:spacing w:val="-4"/>
          <w:sz w:val="26"/>
          <w:szCs w:val="26"/>
          <w:lang w:val="ru-RU"/>
        </w:rPr>
        <w:t>.</w:t>
      </w:r>
    </w:p>
    <w:p w:rsidR="00592BAB" w:rsidRDefault="00D06C00" w:rsidP="00247F80">
      <w:pPr>
        <w:autoSpaceDE w:val="0"/>
        <w:ind w:firstLine="540"/>
        <w:jc w:val="both"/>
        <w:rPr>
          <w:spacing w:val="-4"/>
          <w:sz w:val="26"/>
          <w:szCs w:val="26"/>
          <w:lang w:val="ru-RU"/>
        </w:rPr>
      </w:pPr>
      <w:r>
        <w:rPr>
          <w:spacing w:val="-4"/>
          <w:sz w:val="26"/>
          <w:szCs w:val="26"/>
          <w:lang w:val="ru-RU"/>
        </w:rPr>
        <w:t>3</w:t>
      </w:r>
      <w:r w:rsidR="00247F80" w:rsidRPr="00247F80">
        <w:rPr>
          <w:spacing w:val="-4"/>
          <w:sz w:val="26"/>
          <w:szCs w:val="26"/>
          <w:lang w:val="ru-RU"/>
        </w:rPr>
        <w:t xml:space="preserve">. </w:t>
      </w:r>
      <w:proofErr w:type="gramStart"/>
      <w:r w:rsidR="00247F80" w:rsidRPr="00247F80">
        <w:rPr>
          <w:spacing w:val="-4"/>
          <w:sz w:val="26"/>
          <w:szCs w:val="26"/>
          <w:lang w:val="ru-RU"/>
        </w:rPr>
        <w:t>Выдать</w:t>
      </w:r>
      <w:r>
        <w:rPr>
          <w:spacing w:val="-4"/>
          <w:sz w:val="26"/>
          <w:szCs w:val="26"/>
          <w:lang w:val="ru-RU"/>
        </w:rPr>
        <w:t xml:space="preserve"> Совету депутатов</w:t>
      </w:r>
      <w:r w:rsidR="00247F80" w:rsidRPr="00247F80">
        <w:rPr>
          <w:spacing w:val="-4"/>
          <w:sz w:val="26"/>
          <w:szCs w:val="26"/>
          <w:lang w:val="ru-RU"/>
        </w:rPr>
        <w:t xml:space="preserve"> Саткинского городского поселения предписание об изменении акта, нарушающего антимонопольное законодательство, путем исключения из</w:t>
      </w:r>
      <w:r w:rsidR="0059673B">
        <w:rPr>
          <w:spacing w:val="-4"/>
          <w:sz w:val="26"/>
          <w:szCs w:val="26"/>
          <w:lang w:val="ru-RU"/>
        </w:rPr>
        <w:t xml:space="preserve"> пункта 7 статьи 2</w:t>
      </w:r>
      <w:r>
        <w:rPr>
          <w:spacing w:val="-4"/>
          <w:sz w:val="26"/>
          <w:szCs w:val="26"/>
          <w:lang w:val="ru-RU"/>
        </w:rPr>
        <w:t xml:space="preserve"> Положения</w:t>
      </w:r>
      <w:r w:rsidRPr="00D06C00">
        <w:rPr>
          <w:spacing w:val="-4"/>
          <w:sz w:val="26"/>
          <w:szCs w:val="26"/>
          <w:lang w:val="ru-RU"/>
        </w:rPr>
        <w:t xml:space="preserve"> об организации ритуальных услуг и содержании мест захоронения</w:t>
      </w:r>
      <w:r>
        <w:rPr>
          <w:spacing w:val="-4"/>
          <w:sz w:val="26"/>
          <w:szCs w:val="26"/>
          <w:lang w:val="ru-RU"/>
        </w:rPr>
        <w:t xml:space="preserve"> (утверждено </w:t>
      </w:r>
      <w:r w:rsidRPr="00D06C00">
        <w:rPr>
          <w:spacing w:val="-4"/>
          <w:sz w:val="26"/>
          <w:szCs w:val="26"/>
          <w:lang w:val="ru-RU"/>
        </w:rPr>
        <w:t>Решением Совета депутатов С</w:t>
      </w:r>
      <w:r>
        <w:rPr>
          <w:spacing w:val="-4"/>
          <w:sz w:val="26"/>
          <w:szCs w:val="26"/>
          <w:lang w:val="ru-RU"/>
        </w:rPr>
        <w:t xml:space="preserve">аткинского городского поселения </w:t>
      </w:r>
      <w:r w:rsidRPr="00D06C00">
        <w:rPr>
          <w:spacing w:val="-4"/>
          <w:sz w:val="26"/>
          <w:szCs w:val="26"/>
          <w:lang w:val="ru-RU"/>
        </w:rPr>
        <w:t>от 16.12.2005 № 56/11</w:t>
      </w:r>
      <w:r>
        <w:rPr>
          <w:spacing w:val="-4"/>
          <w:sz w:val="26"/>
          <w:szCs w:val="26"/>
          <w:lang w:val="ru-RU"/>
        </w:rPr>
        <w:t xml:space="preserve">) </w:t>
      </w:r>
      <w:r w:rsidR="00247F80" w:rsidRPr="00247F80">
        <w:rPr>
          <w:spacing w:val="-4"/>
          <w:sz w:val="26"/>
          <w:szCs w:val="26"/>
          <w:lang w:val="ru-RU"/>
        </w:rPr>
        <w:t xml:space="preserve">функций </w:t>
      </w:r>
      <w:r w:rsidR="00616AD5">
        <w:rPr>
          <w:spacing w:val="-4"/>
          <w:sz w:val="26"/>
          <w:szCs w:val="26"/>
          <w:lang w:val="ru-RU"/>
        </w:rPr>
        <w:t>специализированной службы</w:t>
      </w:r>
      <w:r w:rsidR="00616AD5" w:rsidRPr="00247F80">
        <w:rPr>
          <w:spacing w:val="-4"/>
          <w:sz w:val="26"/>
          <w:szCs w:val="26"/>
          <w:lang w:val="ru-RU"/>
        </w:rPr>
        <w:t xml:space="preserve"> </w:t>
      </w:r>
      <w:r w:rsidR="00247F80" w:rsidRPr="00247F80">
        <w:rPr>
          <w:spacing w:val="-4"/>
          <w:sz w:val="26"/>
          <w:szCs w:val="26"/>
          <w:lang w:val="ru-RU"/>
        </w:rPr>
        <w:t>по</w:t>
      </w:r>
      <w:r w:rsidR="00616AD5">
        <w:rPr>
          <w:spacing w:val="-4"/>
          <w:sz w:val="26"/>
          <w:szCs w:val="26"/>
          <w:lang w:val="ru-RU"/>
        </w:rPr>
        <w:t xml:space="preserve"> организации и</w:t>
      </w:r>
      <w:r w:rsidR="00592BAB" w:rsidRPr="00592BAB">
        <w:rPr>
          <w:spacing w:val="-4"/>
          <w:sz w:val="26"/>
          <w:szCs w:val="26"/>
          <w:lang w:val="ru-RU"/>
        </w:rPr>
        <w:t xml:space="preserve"> контрол</w:t>
      </w:r>
      <w:r w:rsidR="003B58AE">
        <w:rPr>
          <w:spacing w:val="-4"/>
          <w:sz w:val="26"/>
          <w:szCs w:val="26"/>
          <w:lang w:val="ru-RU"/>
        </w:rPr>
        <w:t>ю</w:t>
      </w:r>
      <w:r w:rsidR="00121EDE">
        <w:rPr>
          <w:spacing w:val="-4"/>
          <w:sz w:val="26"/>
          <w:szCs w:val="26"/>
          <w:lang w:val="ru-RU"/>
        </w:rPr>
        <w:t xml:space="preserve"> </w:t>
      </w:r>
      <w:r w:rsidR="003B58AE">
        <w:rPr>
          <w:spacing w:val="-4"/>
          <w:sz w:val="26"/>
          <w:szCs w:val="26"/>
          <w:lang w:val="ru-RU"/>
        </w:rPr>
        <w:t xml:space="preserve">организации похоронного дела и </w:t>
      </w:r>
      <w:r w:rsidR="00592BAB" w:rsidRPr="00592BAB">
        <w:rPr>
          <w:spacing w:val="-4"/>
          <w:sz w:val="26"/>
          <w:szCs w:val="26"/>
          <w:lang w:val="ru-RU"/>
        </w:rPr>
        <w:t>контролю мест захоронений</w:t>
      </w:r>
      <w:r w:rsidR="00592BAB">
        <w:rPr>
          <w:spacing w:val="-4"/>
          <w:sz w:val="26"/>
          <w:szCs w:val="26"/>
          <w:lang w:val="ru-RU"/>
        </w:rPr>
        <w:t>, а также</w:t>
      </w:r>
      <w:r w:rsidR="003B58AE">
        <w:rPr>
          <w:spacing w:val="-4"/>
          <w:sz w:val="26"/>
          <w:szCs w:val="26"/>
          <w:lang w:val="ru-RU"/>
        </w:rPr>
        <w:t xml:space="preserve"> путем исключения</w:t>
      </w:r>
      <w:r w:rsidR="00592BAB">
        <w:rPr>
          <w:spacing w:val="-4"/>
          <w:sz w:val="26"/>
          <w:szCs w:val="26"/>
          <w:lang w:val="ru-RU"/>
        </w:rPr>
        <w:t xml:space="preserve"> </w:t>
      </w:r>
      <w:r w:rsidR="003B58AE">
        <w:rPr>
          <w:spacing w:val="-4"/>
          <w:sz w:val="26"/>
          <w:szCs w:val="26"/>
          <w:lang w:val="ru-RU"/>
        </w:rPr>
        <w:t>пункта</w:t>
      </w:r>
      <w:r w:rsidR="00592BAB" w:rsidRPr="00592BAB">
        <w:rPr>
          <w:spacing w:val="-4"/>
          <w:sz w:val="26"/>
          <w:szCs w:val="26"/>
          <w:lang w:val="ru-RU"/>
        </w:rPr>
        <w:t xml:space="preserve"> 14</w:t>
      </w:r>
      <w:proofErr w:type="gramEnd"/>
      <w:r w:rsidR="00592BAB" w:rsidRPr="00592BAB">
        <w:rPr>
          <w:spacing w:val="-4"/>
          <w:sz w:val="26"/>
          <w:szCs w:val="26"/>
          <w:lang w:val="ru-RU"/>
        </w:rPr>
        <w:t xml:space="preserve"> статьи 3 Положения,</w:t>
      </w:r>
      <w:r w:rsidR="00121EDE">
        <w:rPr>
          <w:spacing w:val="-4"/>
          <w:sz w:val="26"/>
          <w:szCs w:val="26"/>
          <w:lang w:val="ru-RU"/>
        </w:rPr>
        <w:t xml:space="preserve"> предусматривающего </w:t>
      </w:r>
      <w:r w:rsidR="00592BAB" w:rsidRPr="00592BAB">
        <w:rPr>
          <w:spacing w:val="-4"/>
          <w:sz w:val="26"/>
          <w:szCs w:val="26"/>
          <w:lang w:val="ru-RU"/>
        </w:rPr>
        <w:t>право</w:t>
      </w:r>
      <w:r w:rsidR="00592BAB">
        <w:rPr>
          <w:spacing w:val="-4"/>
          <w:sz w:val="26"/>
          <w:szCs w:val="26"/>
          <w:lang w:val="ru-RU"/>
        </w:rPr>
        <w:t xml:space="preserve"> специализированной службы</w:t>
      </w:r>
      <w:r w:rsidR="00592BAB" w:rsidRPr="00592BAB">
        <w:rPr>
          <w:spacing w:val="-4"/>
          <w:sz w:val="26"/>
          <w:szCs w:val="26"/>
          <w:lang w:val="ru-RU"/>
        </w:rPr>
        <w:t xml:space="preserve"> на копку могил и захоронение.</w:t>
      </w:r>
    </w:p>
    <w:p w:rsidR="00027430" w:rsidRPr="00247F80" w:rsidRDefault="00D06C00" w:rsidP="00247F80">
      <w:pPr>
        <w:autoSpaceDE w:val="0"/>
        <w:ind w:firstLine="540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r>
        <w:rPr>
          <w:spacing w:val="-4"/>
          <w:sz w:val="26"/>
          <w:szCs w:val="26"/>
          <w:lang w:val="ru-RU"/>
        </w:rPr>
        <w:t>4</w:t>
      </w:r>
      <w:r w:rsidR="00247F80" w:rsidRPr="00247F80">
        <w:rPr>
          <w:spacing w:val="-4"/>
          <w:sz w:val="26"/>
          <w:szCs w:val="26"/>
          <w:lang w:val="ru-RU"/>
        </w:rPr>
        <w:t>. Иные меры по устранению последствий нарушения антимонопольного законодательства, а также по обеспечению конкуренции не принимать ввиду отсутствия оснований для их принятия.</w:t>
      </w:r>
    </w:p>
    <w:p w:rsidR="00247F80" w:rsidRDefault="00247F80" w:rsidP="00027430">
      <w:pPr>
        <w:widowControl/>
        <w:autoSpaceDE w:val="0"/>
        <w:spacing w:line="200" w:lineRule="atLeast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</w:p>
    <w:p w:rsidR="00027430" w:rsidRDefault="00027430" w:rsidP="00027430">
      <w:pPr>
        <w:widowControl/>
        <w:autoSpaceDE w:val="0"/>
        <w:spacing w:line="200" w:lineRule="atLeast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r w:rsidRPr="00027430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Председатель Комиссии</w:t>
      </w:r>
      <w:r w:rsidRPr="00027430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ab/>
      </w:r>
      <w:r w:rsidRPr="00027430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ab/>
      </w:r>
      <w:r w:rsidRPr="00027430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ab/>
        <w:t xml:space="preserve">                             </w:t>
      </w:r>
      <w:r w:rsidR="004E51BD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            </w:t>
      </w:r>
      <w:r w:rsidR="00D06C00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Н.В</w:t>
      </w:r>
      <w:r w:rsidRPr="00027430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.</w:t>
      </w:r>
      <w:r w:rsidR="00D06C00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Сапрыкина</w:t>
      </w:r>
    </w:p>
    <w:p w:rsidR="006C485E" w:rsidRPr="00027430" w:rsidRDefault="006C485E" w:rsidP="00027430">
      <w:pPr>
        <w:widowControl/>
        <w:autoSpaceDE w:val="0"/>
        <w:spacing w:line="200" w:lineRule="atLeast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</w:p>
    <w:p w:rsidR="00027430" w:rsidRPr="00027430" w:rsidRDefault="006C485E" w:rsidP="00027430">
      <w:pPr>
        <w:widowControl/>
        <w:autoSpaceDE w:val="0"/>
        <w:spacing w:line="200" w:lineRule="atLeast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r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</w:t>
      </w:r>
    </w:p>
    <w:p w:rsidR="00027430" w:rsidRDefault="00027430" w:rsidP="00027430">
      <w:pPr>
        <w:widowControl/>
        <w:autoSpaceDE w:val="0"/>
        <w:spacing w:line="200" w:lineRule="atLeast"/>
        <w:jc w:val="both"/>
        <w:rPr>
          <w:rFonts w:cs="Times New Roman"/>
          <w:color w:val="auto"/>
          <w:kern w:val="1"/>
          <w:sz w:val="26"/>
          <w:szCs w:val="26"/>
          <w:lang w:val="ru-RU"/>
        </w:rPr>
      </w:pPr>
      <w:r w:rsidRPr="00027430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Члены Комиссии</w:t>
      </w:r>
      <w:r w:rsidRPr="00027430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ab/>
      </w:r>
      <w:r w:rsidRPr="00027430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ab/>
      </w:r>
      <w:r w:rsidRPr="00027430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ab/>
        <w:t xml:space="preserve">                                               </w:t>
      </w:r>
      <w:r w:rsidR="00D06C00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    В</w:t>
      </w:r>
      <w:r w:rsidRPr="00027430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.М.</w:t>
      </w:r>
      <w:r w:rsidR="00D06C00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 xml:space="preserve"> Гареев</w:t>
      </w:r>
    </w:p>
    <w:p w:rsidR="006C485E" w:rsidRDefault="006C485E" w:rsidP="00027430">
      <w:pPr>
        <w:widowControl/>
        <w:autoSpaceDE w:val="0"/>
        <w:spacing w:line="200" w:lineRule="atLeast"/>
        <w:jc w:val="both"/>
        <w:rPr>
          <w:rFonts w:cs="Times New Roman"/>
          <w:color w:val="auto"/>
          <w:kern w:val="1"/>
          <w:sz w:val="26"/>
          <w:szCs w:val="26"/>
          <w:lang w:val="ru-RU"/>
        </w:rPr>
      </w:pPr>
    </w:p>
    <w:p w:rsidR="00027430" w:rsidRDefault="00027430" w:rsidP="00027430">
      <w:pPr>
        <w:widowControl/>
        <w:autoSpaceDE w:val="0"/>
        <w:spacing w:line="200" w:lineRule="atLeast"/>
        <w:jc w:val="both"/>
        <w:rPr>
          <w:rFonts w:cs="Times New Roman"/>
          <w:color w:val="auto"/>
          <w:kern w:val="1"/>
          <w:sz w:val="26"/>
          <w:szCs w:val="26"/>
          <w:lang w:val="ru-RU"/>
        </w:rPr>
      </w:pPr>
    </w:p>
    <w:p w:rsidR="00027430" w:rsidRDefault="00027430" w:rsidP="00027430">
      <w:pPr>
        <w:widowControl/>
        <w:autoSpaceDE w:val="0"/>
        <w:spacing w:line="200" w:lineRule="atLeast"/>
        <w:jc w:val="both"/>
        <w:rPr>
          <w:rFonts w:cs="Times New Roman"/>
          <w:color w:val="auto"/>
          <w:kern w:val="1"/>
          <w:sz w:val="26"/>
          <w:szCs w:val="26"/>
          <w:lang w:val="ru-RU"/>
        </w:rPr>
      </w:pPr>
      <w:r w:rsidRPr="00027430">
        <w:rPr>
          <w:rFonts w:cs="Times New Roman"/>
          <w:color w:val="auto"/>
          <w:kern w:val="1"/>
          <w:sz w:val="26"/>
          <w:szCs w:val="26"/>
          <w:lang w:val="ru-RU"/>
        </w:rPr>
        <w:tab/>
        <w:t xml:space="preserve">                                                                                  </w:t>
      </w:r>
      <w:r w:rsidR="004E51BD">
        <w:rPr>
          <w:rFonts w:cs="Times New Roman"/>
          <w:color w:val="auto"/>
          <w:kern w:val="1"/>
          <w:sz w:val="26"/>
          <w:szCs w:val="26"/>
          <w:lang w:val="ru-RU"/>
        </w:rPr>
        <w:t xml:space="preserve">          </w:t>
      </w:r>
      <w:r w:rsidR="00D06C00">
        <w:rPr>
          <w:rFonts w:cs="Times New Roman"/>
          <w:color w:val="auto"/>
          <w:kern w:val="1"/>
          <w:sz w:val="26"/>
          <w:szCs w:val="26"/>
          <w:lang w:val="ru-RU"/>
        </w:rPr>
        <w:t>Ю.В</w:t>
      </w:r>
      <w:r w:rsidRPr="00027430">
        <w:rPr>
          <w:rFonts w:cs="Times New Roman"/>
          <w:color w:val="auto"/>
          <w:kern w:val="1"/>
          <w:sz w:val="26"/>
          <w:szCs w:val="26"/>
          <w:lang w:val="ru-RU"/>
        </w:rPr>
        <w:t>.</w:t>
      </w:r>
      <w:r w:rsidR="00D06C00">
        <w:rPr>
          <w:rFonts w:cs="Times New Roman"/>
          <w:color w:val="auto"/>
          <w:kern w:val="1"/>
          <w:sz w:val="26"/>
          <w:szCs w:val="26"/>
          <w:lang w:val="ru-RU"/>
        </w:rPr>
        <w:t xml:space="preserve"> </w:t>
      </w:r>
      <w:proofErr w:type="spellStart"/>
      <w:r w:rsidR="00D06C00">
        <w:rPr>
          <w:rFonts w:cs="Times New Roman"/>
          <w:color w:val="auto"/>
          <w:kern w:val="1"/>
          <w:sz w:val="26"/>
          <w:szCs w:val="26"/>
          <w:lang w:val="ru-RU"/>
        </w:rPr>
        <w:t>Подивилова</w:t>
      </w:r>
      <w:proofErr w:type="spellEnd"/>
    </w:p>
    <w:p w:rsidR="00FB4047" w:rsidRDefault="00FB4047" w:rsidP="00027430">
      <w:pPr>
        <w:widowControl/>
        <w:autoSpaceDE w:val="0"/>
        <w:spacing w:line="200" w:lineRule="atLeast"/>
        <w:jc w:val="both"/>
        <w:rPr>
          <w:rFonts w:cs="Times New Roman"/>
          <w:color w:val="auto"/>
          <w:kern w:val="1"/>
          <w:sz w:val="26"/>
          <w:szCs w:val="26"/>
          <w:lang w:val="ru-RU"/>
        </w:rPr>
      </w:pPr>
    </w:p>
    <w:p w:rsidR="0031793C" w:rsidRDefault="0031793C" w:rsidP="00FB4047">
      <w:pPr>
        <w:widowControl/>
        <w:jc w:val="both"/>
        <w:rPr>
          <w:rFonts w:eastAsia="Times New Roman" w:cs="Arial"/>
          <w:color w:val="auto"/>
          <w:sz w:val="22"/>
          <w:szCs w:val="22"/>
          <w:lang w:val="ru-RU" w:eastAsia="ar-SA" w:bidi="ar-SA"/>
        </w:rPr>
      </w:pPr>
    </w:p>
    <w:p w:rsidR="00FB4047" w:rsidRPr="00FB4047" w:rsidRDefault="00FB4047" w:rsidP="00FB4047">
      <w:pPr>
        <w:widowControl/>
        <w:jc w:val="both"/>
        <w:rPr>
          <w:rFonts w:eastAsia="Courier New" w:cs="Courier New"/>
          <w:color w:val="auto"/>
          <w:sz w:val="22"/>
          <w:szCs w:val="22"/>
          <w:lang w:val="ru-RU" w:eastAsia="ar-SA" w:bidi="ar-SA"/>
        </w:rPr>
      </w:pPr>
      <w:r w:rsidRPr="00FB4047">
        <w:rPr>
          <w:rFonts w:eastAsia="Times New Roman" w:cs="Arial"/>
          <w:color w:val="auto"/>
          <w:sz w:val="22"/>
          <w:szCs w:val="22"/>
          <w:lang w:val="ru-RU" w:eastAsia="ar-SA" w:bidi="ar-SA"/>
        </w:rPr>
        <w:t xml:space="preserve">Решение может быть обжаловано в течение трех месяцев со дня его принятия </w:t>
      </w:r>
      <w:r w:rsidRPr="00FB4047">
        <w:rPr>
          <w:rFonts w:eastAsia="Courier New" w:cs="Courier New"/>
          <w:color w:val="auto"/>
          <w:sz w:val="22"/>
          <w:szCs w:val="22"/>
          <w:lang w:val="ru-RU" w:eastAsia="ar-SA" w:bidi="ar-SA"/>
        </w:rPr>
        <w:t>в суд или в арбитражный суд.</w:t>
      </w:r>
    </w:p>
    <w:p w:rsidR="00FB4047" w:rsidRPr="00FB4047" w:rsidRDefault="00FB4047" w:rsidP="00FB4047">
      <w:pPr>
        <w:widowControl/>
        <w:autoSpaceDE w:val="0"/>
        <w:spacing w:line="250" w:lineRule="atLeast"/>
        <w:jc w:val="both"/>
        <w:rPr>
          <w:rFonts w:eastAsia="Courier New" w:cs="Courier New"/>
          <w:color w:val="auto"/>
          <w:sz w:val="22"/>
          <w:szCs w:val="22"/>
          <w:lang w:val="ru-RU" w:eastAsia="ar-SA" w:bidi="ar-SA"/>
        </w:rPr>
      </w:pPr>
      <w:r w:rsidRPr="00FB4047">
        <w:rPr>
          <w:rFonts w:eastAsia="Arial" w:cs="Times New Roman"/>
          <w:color w:val="auto"/>
          <w:sz w:val="22"/>
          <w:szCs w:val="22"/>
          <w:lang w:val="ru-RU" w:eastAsia="ar-SA" w:bidi="ar-SA"/>
        </w:rPr>
        <w:t xml:space="preserve">Примечание. </w:t>
      </w:r>
      <w:r w:rsidRPr="00FB4047">
        <w:rPr>
          <w:rFonts w:eastAsia="Courier New" w:cs="Courier New"/>
          <w:color w:val="auto"/>
          <w:sz w:val="22"/>
          <w:szCs w:val="22"/>
          <w:lang w:val="ru-RU" w:eastAsia="ar-SA" w:bidi="ar-SA"/>
        </w:rPr>
        <w:t xml:space="preserve">  За  невыполнение  в   установленный   срок  законного  решения антимонопольного  органа  статьей  19.5  Кодекса  Российской  Федерации  об административных правонарушениях      установлена     административная ответственность.</w:t>
      </w:r>
    </w:p>
    <w:p w:rsidR="003B58AE" w:rsidRDefault="003B58AE" w:rsidP="00FB4047">
      <w:pPr>
        <w:widowControl/>
        <w:autoSpaceDE w:val="0"/>
        <w:spacing w:line="250" w:lineRule="atLeast"/>
        <w:jc w:val="both"/>
        <w:rPr>
          <w:rFonts w:eastAsia="Arial" w:cs="Times New Roman"/>
          <w:color w:val="auto"/>
          <w:sz w:val="22"/>
          <w:szCs w:val="22"/>
          <w:lang w:val="ru-RU" w:eastAsia="ar-SA" w:bidi="ar-SA"/>
        </w:rPr>
      </w:pPr>
    </w:p>
    <w:p w:rsidR="007F5916" w:rsidRDefault="007F5916" w:rsidP="00FB4047">
      <w:pPr>
        <w:widowControl/>
        <w:autoSpaceDE w:val="0"/>
        <w:spacing w:line="250" w:lineRule="atLeast"/>
        <w:jc w:val="both"/>
        <w:rPr>
          <w:rFonts w:eastAsia="Arial" w:cs="Times New Roman"/>
          <w:color w:val="auto"/>
          <w:sz w:val="22"/>
          <w:szCs w:val="22"/>
          <w:lang w:val="ru-RU" w:eastAsia="ar-SA" w:bidi="ar-SA"/>
        </w:rPr>
      </w:pPr>
    </w:p>
    <w:p w:rsidR="007F5916" w:rsidRPr="00FB4047" w:rsidRDefault="007F5916" w:rsidP="00FB4047">
      <w:pPr>
        <w:widowControl/>
        <w:autoSpaceDE w:val="0"/>
        <w:spacing w:line="250" w:lineRule="atLeast"/>
        <w:jc w:val="both"/>
        <w:rPr>
          <w:rFonts w:eastAsia="Arial" w:cs="Times New Roman"/>
          <w:color w:val="auto"/>
          <w:sz w:val="22"/>
          <w:szCs w:val="22"/>
          <w:lang w:val="ru-RU" w:eastAsia="ar-SA" w:bidi="ar-SA"/>
        </w:rPr>
      </w:pPr>
    </w:p>
    <w:p w:rsidR="00FB4047" w:rsidRPr="00F44AB0" w:rsidRDefault="00FB4047" w:rsidP="00FB4047">
      <w:pPr>
        <w:widowControl/>
        <w:autoSpaceDE w:val="0"/>
        <w:spacing w:line="250" w:lineRule="atLeast"/>
        <w:jc w:val="both"/>
        <w:rPr>
          <w:rFonts w:eastAsia="Arial" w:cs="Times New Roman"/>
          <w:color w:val="auto"/>
          <w:sz w:val="20"/>
          <w:szCs w:val="20"/>
          <w:lang w:val="ru-RU" w:eastAsia="ar-SA" w:bidi="ar-SA"/>
        </w:rPr>
      </w:pPr>
      <w:r w:rsidRPr="00F44AB0">
        <w:rPr>
          <w:rFonts w:eastAsia="Arial" w:cs="Times New Roman"/>
          <w:color w:val="auto"/>
          <w:sz w:val="20"/>
          <w:szCs w:val="20"/>
          <w:lang w:val="ru-RU" w:eastAsia="ar-SA" w:bidi="ar-SA"/>
        </w:rPr>
        <w:t>Гареев В.М.</w:t>
      </w:r>
    </w:p>
    <w:p w:rsidR="00FB4047" w:rsidRPr="00F44AB0" w:rsidRDefault="00FB4047" w:rsidP="00FB4047">
      <w:pPr>
        <w:widowControl/>
        <w:autoSpaceDE w:val="0"/>
        <w:spacing w:line="250" w:lineRule="atLeast"/>
        <w:jc w:val="both"/>
        <w:rPr>
          <w:rFonts w:eastAsia="Arial" w:cs="Times New Roman"/>
          <w:color w:val="auto"/>
          <w:sz w:val="20"/>
          <w:szCs w:val="20"/>
          <w:lang w:val="ru-RU" w:eastAsia="ar-SA" w:bidi="ar-SA"/>
        </w:rPr>
      </w:pPr>
      <w:r w:rsidRPr="00F44AB0">
        <w:rPr>
          <w:rFonts w:eastAsia="Arial" w:cs="Times New Roman"/>
          <w:color w:val="auto"/>
          <w:sz w:val="20"/>
          <w:szCs w:val="20"/>
          <w:lang w:val="ru-RU" w:eastAsia="ar-SA" w:bidi="ar-SA"/>
        </w:rPr>
        <w:t>(351) 265-93-79</w:t>
      </w:r>
    </w:p>
    <w:p w:rsidR="00102541" w:rsidRPr="00F44AB0" w:rsidRDefault="007922E4" w:rsidP="00FB1659">
      <w:pPr>
        <w:widowControl/>
        <w:autoSpaceDE w:val="0"/>
        <w:spacing w:line="250" w:lineRule="atLeast"/>
        <w:jc w:val="both"/>
        <w:rPr>
          <w:rFonts w:cs="Times New Roman"/>
          <w:sz w:val="20"/>
          <w:szCs w:val="20"/>
          <w:lang w:val="ru-RU"/>
        </w:rPr>
      </w:pPr>
      <w:r>
        <w:rPr>
          <w:rFonts w:eastAsia="Arial" w:cs="Times New Roman"/>
          <w:color w:val="auto"/>
          <w:sz w:val="20"/>
          <w:szCs w:val="20"/>
          <w:lang w:val="ru-RU" w:eastAsia="ar-SA" w:bidi="ar-SA"/>
        </w:rPr>
        <w:t>0</w:t>
      </w:r>
      <w:r w:rsidR="00D91BB2">
        <w:rPr>
          <w:rFonts w:eastAsia="Arial" w:cs="Times New Roman"/>
          <w:color w:val="auto"/>
          <w:sz w:val="20"/>
          <w:szCs w:val="20"/>
          <w:lang w:val="ru-RU" w:eastAsia="ar-SA" w:bidi="ar-SA"/>
        </w:rPr>
        <w:t>5</w:t>
      </w:r>
      <w:bookmarkStart w:id="0" w:name="_GoBack"/>
      <w:bookmarkEnd w:id="0"/>
      <w:r w:rsidR="00FB4047" w:rsidRPr="00F44AB0">
        <w:rPr>
          <w:rFonts w:eastAsia="Arial" w:cs="Times New Roman"/>
          <w:color w:val="auto"/>
          <w:sz w:val="20"/>
          <w:szCs w:val="20"/>
          <w:lang w:val="ru-RU" w:eastAsia="ar-SA" w:bidi="ar-SA"/>
        </w:rPr>
        <w:t>.0</w:t>
      </w:r>
      <w:r>
        <w:rPr>
          <w:rFonts w:eastAsia="Arial" w:cs="Times New Roman"/>
          <w:color w:val="auto"/>
          <w:sz w:val="20"/>
          <w:szCs w:val="20"/>
          <w:lang w:val="ru-RU" w:eastAsia="ar-SA" w:bidi="ar-SA"/>
        </w:rPr>
        <w:t>9</w:t>
      </w:r>
      <w:r w:rsidR="00FB4047" w:rsidRPr="00F44AB0">
        <w:rPr>
          <w:rFonts w:eastAsia="Arial" w:cs="Times New Roman"/>
          <w:color w:val="auto"/>
          <w:sz w:val="20"/>
          <w:szCs w:val="20"/>
          <w:lang w:val="ru-RU" w:eastAsia="ar-SA" w:bidi="ar-SA"/>
        </w:rPr>
        <w:t>.2012</w:t>
      </w:r>
    </w:p>
    <w:sectPr w:rsidR="00102541" w:rsidRPr="00F44AB0" w:rsidSect="007922E4">
      <w:pgSz w:w="11906" w:h="16838"/>
      <w:pgMar w:top="1021" w:right="1021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93"/>
    <w:rsid w:val="0001473C"/>
    <w:rsid w:val="000148B3"/>
    <w:rsid w:val="00027430"/>
    <w:rsid w:val="0003381A"/>
    <w:rsid w:val="0003795C"/>
    <w:rsid w:val="00051480"/>
    <w:rsid w:val="000525C3"/>
    <w:rsid w:val="000877FC"/>
    <w:rsid w:val="000A2E15"/>
    <w:rsid w:val="000A41F7"/>
    <w:rsid w:val="000A7768"/>
    <w:rsid w:val="000F62BB"/>
    <w:rsid w:val="00102541"/>
    <w:rsid w:val="00121EDE"/>
    <w:rsid w:val="0012278D"/>
    <w:rsid w:val="00150FFB"/>
    <w:rsid w:val="00165838"/>
    <w:rsid w:val="00177D0F"/>
    <w:rsid w:val="00182EDE"/>
    <w:rsid w:val="00187EAC"/>
    <w:rsid w:val="00192A19"/>
    <w:rsid w:val="001942E0"/>
    <w:rsid w:val="001949CA"/>
    <w:rsid w:val="001C5232"/>
    <w:rsid w:val="001F08CA"/>
    <w:rsid w:val="0020663E"/>
    <w:rsid w:val="00223BFD"/>
    <w:rsid w:val="00236835"/>
    <w:rsid w:val="00243FD1"/>
    <w:rsid w:val="00247F80"/>
    <w:rsid w:val="002556D2"/>
    <w:rsid w:val="00263C9B"/>
    <w:rsid w:val="002718BE"/>
    <w:rsid w:val="0027553B"/>
    <w:rsid w:val="00292FFC"/>
    <w:rsid w:val="00296C1E"/>
    <w:rsid w:val="002A3F05"/>
    <w:rsid w:val="002C224B"/>
    <w:rsid w:val="002D3370"/>
    <w:rsid w:val="002E3FC4"/>
    <w:rsid w:val="0030032E"/>
    <w:rsid w:val="00305668"/>
    <w:rsid w:val="00312491"/>
    <w:rsid w:val="0031793C"/>
    <w:rsid w:val="00345ACC"/>
    <w:rsid w:val="00346D3E"/>
    <w:rsid w:val="003543FC"/>
    <w:rsid w:val="00365F64"/>
    <w:rsid w:val="00386F6F"/>
    <w:rsid w:val="003A6BC5"/>
    <w:rsid w:val="003B58AE"/>
    <w:rsid w:val="003D3EAC"/>
    <w:rsid w:val="003D5A9B"/>
    <w:rsid w:val="003F2165"/>
    <w:rsid w:val="003F5AFF"/>
    <w:rsid w:val="00400FAE"/>
    <w:rsid w:val="004053FE"/>
    <w:rsid w:val="00451768"/>
    <w:rsid w:val="004675BF"/>
    <w:rsid w:val="0046773A"/>
    <w:rsid w:val="0047017C"/>
    <w:rsid w:val="00481276"/>
    <w:rsid w:val="004D10A9"/>
    <w:rsid w:val="004E2A01"/>
    <w:rsid w:val="004E51BD"/>
    <w:rsid w:val="004E5E70"/>
    <w:rsid w:val="00500C63"/>
    <w:rsid w:val="0051303A"/>
    <w:rsid w:val="00517909"/>
    <w:rsid w:val="00517EAA"/>
    <w:rsid w:val="0052412B"/>
    <w:rsid w:val="00531CC6"/>
    <w:rsid w:val="00535EA9"/>
    <w:rsid w:val="00565F83"/>
    <w:rsid w:val="00573438"/>
    <w:rsid w:val="00581F05"/>
    <w:rsid w:val="00582F38"/>
    <w:rsid w:val="0058594F"/>
    <w:rsid w:val="00592BAB"/>
    <w:rsid w:val="0059673B"/>
    <w:rsid w:val="005E0B75"/>
    <w:rsid w:val="005E3EED"/>
    <w:rsid w:val="00600457"/>
    <w:rsid w:val="00604B8D"/>
    <w:rsid w:val="006144AF"/>
    <w:rsid w:val="00616AD5"/>
    <w:rsid w:val="00620DBA"/>
    <w:rsid w:val="00621A18"/>
    <w:rsid w:val="00632B3F"/>
    <w:rsid w:val="006338B4"/>
    <w:rsid w:val="00644C31"/>
    <w:rsid w:val="00650CA2"/>
    <w:rsid w:val="00662282"/>
    <w:rsid w:val="00686314"/>
    <w:rsid w:val="00691BDD"/>
    <w:rsid w:val="00691EEC"/>
    <w:rsid w:val="006A19CC"/>
    <w:rsid w:val="006A2014"/>
    <w:rsid w:val="006B0965"/>
    <w:rsid w:val="006B5BF8"/>
    <w:rsid w:val="006C2C4B"/>
    <w:rsid w:val="006C485E"/>
    <w:rsid w:val="006D00A5"/>
    <w:rsid w:val="006E55DE"/>
    <w:rsid w:val="006F34EC"/>
    <w:rsid w:val="006F3893"/>
    <w:rsid w:val="00712375"/>
    <w:rsid w:val="00712932"/>
    <w:rsid w:val="007143DE"/>
    <w:rsid w:val="0072515C"/>
    <w:rsid w:val="0072792D"/>
    <w:rsid w:val="0074255F"/>
    <w:rsid w:val="00742D94"/>
    <w:rsid w:val="0075297C"/>
    <w:rsid w:val="00762847"/>
    <w:rsid w:val="00762DB5"/>
    <w:rsid w:val="00776F1D"/>
    <w:rsid w:val="007922E4"/>
    <w:rsid w:val="007B07B2"/>
    <w:rsid w:val="007C3136"/>
    <w:rsid w:val="007D282B"/>
    <w:rsid w:val="007E1A83"/>
    <w:rsid w:val="007E3717"/>
    <w:rsid w:val="007F1C74"/>
    <w:rsid w:val="007F39F2"/>
    <w:rsid w:val="007F5916"/>
    <w:rsid w:val="00801B71"/>
    <w:rsid w:val="00866FD3"/>
    <w:rsid w:val="0087279E"/>
    <w:rsid w:val="008931D7"/>
    <w:rsid w:val="008B09FE"/>
    <w:rsid w:val="008B1164"/>
    <w:rsid w:val="008B214D"/>
    <w:rsid w:val="008D5E4C"/>
    <w:rsid w:val="008E52F7"/>
    <w:rsid w:val="00900D97"/>
    <w:rsid w:val="00932CBE"/>
    <w:rsid w:val="0093593A"/>
    <w:rsid w:val="009602FA"/>
    <w:rsid w:val="00961A76"/>
    <w:rsid w:val="009670C2"/>
    <w:rsid w:val="0099256C"/>
    <w:rsid w:val="009B6715"/>
    <w:rsid w:val="009B6955"/>
    <w:rsid w:val="009C1B6F"/>
    <w:rsid w:val="009C2B3B"/>
    <w:rsid w:val="00A4056F"/>
    <w:rsid w:val="00A80A5B"/>
    <w:rsid w:val="00A93B23"/>
    <w:rsid w:val="00A9662C"/>
    <w:rsid w:val="00AB6413"/>
    <w:rsid w:val="00AC2B5D"/>
    <w:rsid w:val="00AC3D04"/>
    <w:rsid w:val="00AC5BF1"/>
    <w:rsid w:val="00AF2C98"/>
    <w:rsid w:val="00B10D49"/>
    <w:rsid w:val="00B1777A"/>
    <w:rsid w:val="00B32C41"/>
    <w:rsid w:val="00B339C0"/>
    <w:rsid w:val="00B42D14"/>
    <w:rsid w:val="00BA6284"/>
    <w:rsid w:val="00BB78B0"/>
    <w:rsid w:val="00BE0D76"/>
    <w:rsid w:val="00BE6A1E"/>
    <w:rsid w:val="00C24EC0"/>
    <w:rsid w:val="00C53988"/>
    <w:rsid w:val="00C65C71"/>
    <w:rsid w:val="00C67A14"/>
    <w:rsid w:val="00C74BC5"/>
    <w:rsid w:val="00C93FFE"/>
    <w:rsid w:val="00CA5B0D"/>
    <w:rsid w:val="00CA608A"/>
    <w:rsid w:val="00CE22F3"/>
    <w:rsid w:val="00CE2C50"/>
    <w:rsid w:val="00CE5682"/>
    <w:rsid w:val="00CE788D"/>
    <w:rsid w:val="00CE7EF2"/>
    <w:rsid w:val="00D01BAE"/>
    <w:rsid w:val="00D06C00"/>
    <w:rsid w:val="00D15796"/>
    <w:rsid w:val="00D22B3D"/>
    <w:rsid w:val="00D26BE1"/>
    <w:rsid w:val="00D405F8"/>
    <w:rsid w:val="00D4093A"/>
    <w:rsid w:val="00D54737"/>
    <w:rsid w:val="00D65EC3"/>
    <w:rsid w:val="00D73476"/>
    <w:rsid w:val="00D77CF3"/>
    <w:rsid w:val="00D91BB2"/>
    <w:rsid w:val="00D91DBB"/>
    <w:rsid w:val="00DA592E"/>
    <w:rsid w:val="00DA7F32"/>
    <w:rsid w:val="00DD2C31"/>
    <w:rsid w:val="00DD5C82"/>
    <w:rsid w:val="00DE2FCB"/>
    <w:rsid w:val="00DE6663"/>
    <w:rsid w:val="00DF017C"/>
    <w:rsid w:val="00E062C1"/>
    <w:rsid w:val="00E21EEA"/>
    <w:rsid w:val="00E24505"/>
    <w:rsid w:val="00E3095D"/>
    <w:rsid w:val="00E6236F"/>
    <w:rsid w:val="00E64403"/>
    <w:rsid w:val="00E65E3D"/>
    <w:rsid w:val="00E82CCC"/>
    <w:rsid w:val="00EA199F"/>
    <w:rsid w:val="00EA1CFD"/>
    <w:rsid w:val="00EB13A0"/>
    <w:rsid w:val="00EC36D0"/>
    <w:rsid w:val="00EE401B"/>
    <w:rsid w:val="00EF1724"/>
    <w:rsid w:val="00F120BF"/>
    <w:rsid w:val="00F2002D"/>
    <w:rsid w:val="00F33E2F"/>
    <w:rsid w:val="00F35CE8"/>
    <w:rsid w:val="00F44AB0"/>
    <w:rsid w:val="00F56343"/>
    <w:rsid w:val="00F62762"/>
    <w:rsid w:val="00F740B6"/>
    <w:rsid w:val="00F80E6B"/>
    <w:rsid w:val="00F923E4"/>
    <w:rsid w:val="00FB1659"/>
    <w:rsid w:val="00FB1B0B"/>
    <w:rsid w:val="00FB4047"/>
    <w:rsid w:val="00FB585E"/>
    <w:rsid w:val="00FC4FCA"/>
    <w:rsid w:val="00FC65F3"/>
    <w:rsid w:val="00FD3218"/>
    <w:rsid w:val="00FD3E33"/>
    <w:rsid w:val="00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B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777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35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B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777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35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6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Гареев</dc:creator>
  <cp:lastModifiedBy>Гареев</cp:lastModifiedBy>
  <cp:revision>144</cp:revision>
  <dcterms:created xsi:type="dcterms:W3CDTF">2012-07-03T11:05:00Z</dcterms:created>
  <dcterms:modified xsi:type="dcterms:W3CDTF">2012-09-05T11:56:00Z</dcterms:modified>
</cp:coreProperties>
</file>